
<file path=[Content_Types].xml><?xml version="1.0" encoding="utf-8"?>
<Types xmlns="http://schemas.openxmlformats.org/package/2006/content-types">
  <Default Extension="xml" ContentType="application/xml"/>
  <Default Extension="gif" ContentType="image/gif"/>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56" w:beforeLines="50" w:line="440" w:lineRule="exact"/>
        <w:jc w:val="center"/>
        <w:rPr>
          <w:rFonts w:eastAsia="黑体"/>
          <w:b/>
          <w:sz w:val="30"/>
          <w:szCs w:val="30"/>
        </w:rPr>
      </w:pPr>
      <w:bookmarkStart w:id="3" w:name="_GoBack"/>
      <w:bookmarkStart w:id="0" w:name="OLE_LINK2"/>
      <w:bookmarkStart w:id="1" w:name="OLE_LINK1"/>
      <w:r>
        <w:rPr>
          <w:rFonts w:eastAsia="黑体"/>
          <w:b/>
          <w:sz w:val="30"/>
          <w:szCs w:val="30"/>
        </w:rPr>
        <w:t>2019循证科学与知识转化论坛</w:t>
      </w:r>
    </w:p>
    <w:p>
      <w:pPr>
        <w:spacing w:line="440" w:lineRule="exact"/>
        <w:jc w:val="center"/>
        <w:rPr>
          <w:rFonts w:eastAsia="黑体"/>
          <w:b/>
          <w:sz w:val="30"/>
          <w:szCs w:val="30"/>
        </w:rPr>
      </w:pPr>
      <w:r>
        <w:rPr>
          <w:rFonts w:eastAsia="黑体"/>
          <w:b/>
          <w:sz w:val="30"/>
          <w:szCs w:val="30"/>
        </w:rPr>
        <w:t>循证临床实践指南与GRADE培训班</w:t>
      </w:r>
    </w:p>
    <w:p>
      <w:pPr>
        <w:spacing w:line="440" w:lineRule="exact"/>
        <w:jc w:val="center"/>
        <w:rPr>
          <w:rFonts w:eastAsia="黑体"/>
          <w:b/>
          <w:sz w:val="30"/>
          <w:szCs w:val="30"/>
        </w:rPr>
      </w:pPr>
      <w:r>
        <w:rPr>
          <w:rFonts w:eastAsia="黑体"/>
          <w:b/>
          <w:sz w:val="30"/>
          <w:szCs w:val="30"/>
        </w:rPr>
        <w:t>首届西北地区临床流行病学和循证医学研讨会</w:t>
      </w:r>
    </w:p>
    <w:p>
      <w:pPr>
        <w:spacing w:line="440" w:lineRule="exact"/>
        <w:jc w:val="center"/>
        <w:rPr>
          <w:rFonts w:eastAsia="黑体"/>
          <w:b/>
          <w:sz w:val="30"/>
          <w:szCs w:val="30"/>
        </w:rPr>
      </w:pPr>
      <w:r>
        <w:rPr>
          <w:rFonts w:eastAsia="黑体"/>
          <w:b/>
          <w:sz w:val="30"/>
          <w:szCs w:val="30"/>
        </w:rPr>
        <w:t>甘肃省医学会临床流行病学和循证医学分会/甘肃省医师协会循证医学分会学术年会</w:t>
      </w:r>
    </w:p>
    <w:bookmarkEnd w:id="0"/>
    <w:bookmarkEnd w:id="1"/>
    <w:p>
      <w:pPr>
        <w:spacing w:line="320" w:lineRule="exact"/>
        <w:ind w:firstLine="4096" w:firstLineChars="1700"/>
        <w:jc w:val="left"/>
        <w:rPr>
          <w:rFonts w:eastAsia="黑体"/>
          <w:b/>
          <w:sz w:val="24"/>
        </w:rPr>
      </w:pPr>
    </w:p>
    <w:p>
      <w:pPr>
        <w:spacing w:line="320" w:lineRule="exact"/>
        <w:ind w:firstLine="1446" w:firstLineChars="600"/>
        <w:jc w:val="left"/>
        <w:rPr>
          <w:sz w:val="24"/>
        </w:rPr>
      </w:pPr>
      <w:r>
        <w:rPr>
          <w:rFonts w:eastAsia="黑体"/>
          <w:b/>
          <w:sz w:val="24"/>
        </w:rPr>
        <w:t>主办单位：</w:t>
      </w:r>
      <w:r>
        <w:rPr>
          <w:sz w:val="24"/>
        </w:rPr>
        <w:t>甘肃省医学会临床流行病学和循证医学分会</w:t>
      </w:r>
    </w:p>
    <w:p>
      <w:pPr>
        <w:spacing w:line="320" w:lineRule="exact"/>
        <w:ind w:firstLine="2640" w:firstLineChars="1100"/>
        <w:jc w:val="left"/>
        <w:rPr>
          <w:sz w:val="24"/>
        </w:rPr>
      </w:pPr>
      <w:r>
        <w:rPr>
          <w:sz w:val="24"/>
        </w:rPr>
        <w:t>甘肃省医师协会循证医学分会</w:t>
      </w:r>
    </w:p>
    <w:p>
      <w:pPr>
        <w:spacing w:line="320" w:lineRule="exact"/>
        <w:ind w:firstLine="2640" w:firstLineChars="1100"/>
        <w:jc w:val="left"/>
        <w:rPr>
          <w:sz w:val="24"/>
        </w:rPr>
      </w:pPr>
      <w:r>
        <w:rPr>
          <w:sz w:val="24"/>
        </w:rPr>
        <w:t>WHO指南实施与知识转化合作中心</w:t>
      </w:r>
    </w:p>
    <w:p>
      <w:pPr>
        <w:spacing w:line="320" w:lineRule="exact"/>
        <w:ind w:firstLine="2640" w:firstLineChars="1100"/>
        <w:jc w:val="left"/>
        <w:rPr>
          <w:sz w:val="24"/>
        </w:rPr>
      </w:pPr>
      <w:r>
        <w:rPr>
          <w:sz w:val="24"/>
        </w:rPr>
        <w:t>GRADE中国中心</w:t>
      </w:r>
    </w:p>
    <w:p>
      <w:pPr>
        <w:spacing w:line="320" w:lineRule="exact"/>
        <w:ind w:firstLine="2640" w:firstLineChars="1100"/>
        <w:jc w:val="left"/>
        <w:rPr>
          <w:sz w:val="24"/>
        </w:rPr>
      </w:pPr>
      <w:r>
        <w:rPr>
          <w:sz w:val="24"/>
        </w:rPr>
        <w:t>甘肃省人民医院</w:t>
      </w:r>
    </w:p>
    <w:p>
      <w:pPr>
        <w:spacing w:line="320" w:lineRule="exact"/>
        <w:ind w:firstLine="2640" w:firstLineChars="1100"/>
        <w:jc w:val="left"/>
        <w:rPr>
          <w:sz w:val="24"/>
        </w:rPr>
      </w:pPr>
      <w:r>
        <w:rPr>
          <w:sz w:val="24"/>
        </w:rPr>
        <w:t>兰州大学循证社会科学研究中心</w:t>
      </w:r>
    </w:p>
    <w:p>
      <w:pPr>
        <w:spacing w:line="320" w:lineRule="exact"/>
        <w:ind w:firstLine="2640" w:firstLineChars="1100"/>
        <w:jc w:val="left"/>
        <w:rPr>
          <w:sz w:val="24"/>
        </w:rPr>
      </w:pPr>
      <w:r>
        <w:rPr>
          <w:sz w:val="24"/>
        </w:rPr>
        <w:t>兰州大学循证医学中心</w:t>
      </w:r>
    </w:p>
    <w:p>
      <w:pPr>
        <w:spacing w:line="320" w:lineRule="exact"/>
        <w:ind w:firstLine="2640" w:firstLineChars="1100"/>
        <w:rPr>
          <w:sz w:val="24"/>
        </w:rPr>
      </w:pPr>
      <w:r>
        <w:rPr>
          <w:sz w:val="24"/>
        </w:rPr>
        <w:t>GIN Asia</w:t>
      </w:r>
    </w:p>
    <w:p>
      <w:pPr>
        <w:spacing w:line="320" w:lineRule="exact"/>
        <w:ind w:firstLine="2640" w:firstLineChars="1100"/>
        <w:jc w:val="left"/>
        <w:rPr>
          <w:sz w:val="24"/>
        </w:rPr>
      </w:pPr>
      <w:r>
        <w:rPr>
          <w:sz w:val="24"/>
        </w:rPr>
        <w:t>Cochrane China Network GRADE and Guideline Working Group</w:t>
      </w:r>
    </w:p>
    <w:p>
      <w:pPr>
        <w:spacing w:line="240" w:lineRule="exact"/>
        <w:ind w:firstLine="1446" w:firstLineChars="600"/>
        <w:jc w:val="left"/>
        <w:rPr>
          <w:b/>
          <w:sz w:val="24"/>
        </w:rPr>
      </w:pPr>
    </w:p>
    <w:p>
      <w:pPr>
        <w:spacing w:line="320" w:lineRule="exact"/>
        <w:ind w:firstLine="1446" w:firstLineChars="600"/>
        <w:jc w:val="left"/>
        <w:rPr>
          <w:sz w:val="24"/>
        </w:rPr>
      </w:pPr>
      <w:r>
        <w:rPr>
          <w:rFonts w:eastAsia="黑体"/>
          <w:b/>
          <w:sz w:val="24"/>
        </w:rPr>
        <w:t>协办单位：</w:t>
      </w:r>
      <w:r>
        <w:rPr>
          <w:sz w:val="24"/>
        </w:rPr>
        <w:t>甘肃省人民医院临床循证医学研究所；甘肃省康复中心医院；甘肃省循证康复医学研究所；</w:t>
      </w:r>
    </w:p>
    <w:p>
      <w:pPr>
        <w:spacing w:line="320" w:lineRule="exact"/>
        <w:ind w:firstLine="2640" w:firstLineChars="1100"/>
        <w:jc w:val="left"/>
        <w:rPr>
          <w:sz w:val="24"/>
        </w:rPr>
      </w:pPr>
      <w:r>
        <w:rPr>
          <w:sz w:val="24"/>
        </w:rPr>
        <w:t>兰州重离子医学产业投资有限责任公司；甘肃省抗癌协会放射治疗专委会；兰州大学第一医院放射科；</w:t>
      </w:r>
    </w:p>
    <w:p>
      <w:pPr>
        <w:spacing w:line="320" w:lineRule="exact"/>
        <w:ind w:firstLine="2640" w:firstLineChars="1100"/>
        <w:jc w:val="left"/>
        <w:rPr>
          <w:sz w:val="24"/>
        </w:rPr>
      </w:pPr>
      <w:r>
        <w:rPr>
          <w:sz w:val="24"/>
        </w:rPr>
        <w:t>甘肃省护理学会循证护理专业委员会；兰州大学循证护理中心；兰州大学第二医院循证护理研究室；</w:t>
      </w:r>
    </w:p>
    <w:p>
      <w:pPr>
        <w:spacing w:line="320" w:lineRule="exact"/>
        <w:ind w:firstLine="2640" w:firstLineChars="1100"/>
        <w:jc w:val="left"/>
        <w:rPr>
          <w:sz w:val="24"/>
        </w:rPr>
      </w:pPr>
      <w:r>
        <w:rPr>
          <w:sz w:val="24"/>
        </w:rPr>
        <w:t>甘肃省中医院麻醉科；甘肃省中医药研究院中西医结合循证麻醉学研究所；兰州五鼎商务会展有限公司</w:t>
      </w:r>
      <w:r>
        <w:rPr>
          <w:rFonts w:hint="eastAsia"/>
          <w:sz w:val="24"/>
        </w:rPr>
        <w:t>；</w:t>
      </w:r>
    </w:p>
    <w:p>
      <w:pPr>
        <w:spacing w:line="320" w:lineRule="exact"/>
        <w:jc w:val="left"/>
        <w:rPr>
          <w:sz w:val="24"/>
        </w:rPr>
      </w:pPr>
      <w:r>
        <w:rPr>
          <w:b/>
          <w:sz w:val="28"/>
          <w:szCs w:val="28"/>
        </w:rPr>
        <w:t xml:space="preserve">          </w:t>
      </w:r>
      <w:r>
        <w:rPr>
          <w:rFonts w:eastAsia="黑体"/>
          <w:b/>
          <w:sz w:val="24"/>
        </w:rPr>
        <w:t xml:space="preserve">          </w:t>
      </w:r>
      <w:r>
        <w:rPr>
          <w:rFonts w:eastAsia="黑体"/>
          <w:sz w:val="24"/>
        </w:rPr>
        <w:t>《</w:t>
      </w:r>
      <w:r>
        <w:rPr>
          <w:sz w:val="24"/>
        </w:rPr>
        <w:t>图书与情报》</w:t>
      </w:r>
      <w:r>
        <w:rPr>
          <w:rFonts w:hint="eastAsia"/>
          <w:sz w:val="24"/>
        </w:rPr>
        <w:t>;</w:t>
      </w:r>
      <w:r>
        <w:rPr>
          <w:sz w:val="24"/>
        </w:rPr>
        <w:t>《中国循证医学杂志》</w:t>
      </w:r>
      <w:r>
        <w:rPr>
          <w:rFonts w:hint="eastAsia"/>
          <w:sz w:val="24"/>
        </w:rPr>
        <w:t>;</w:t>
      </w:r>
      <w:r>
        <w:rPr>
          <w:sz w:val="24"/>
        </w:rPr>
        <w:t>《Journal of Evidence</w:t>
      </w:r>
      <w:r>
        <w:rPr>
          <w:rFonts w:hint="eastAsia"/>
          <w:sz w:val="24"/>
        </w:rPr>
        <w:t>-</w:t>
      </w:r>
      <w:r>
        <w:rPr>
          <w:sz w:val="24"/>
        </w:rPr>
        <w:t>Based Medicine》</w:t>
      </w:r>
      <w:r>
        <w:rPr>
          <w:rFonts w:hint="eastAsia"/>
          <w:sz w:val="24"/>
        </w:rPr>
        <w:t>;</w:t>
      </w:r>
      <w:r>
        <w:rPr>
          <w:sz w:val="24"/>
        </w:rPr>
        <w:t xml:space="preserve"> </w:t>
      </w:r>
      <w:r>
        <w:rPr>
          <w:rFonts w:hint="eastAsia"/>
          <w:sz w:val="24"/>
        </w:rPr>
        <w:t>诺丁汉宁波G</w:t>
      </w:r>
      <w:r>
        <w:rPr>
          <w:sz w:val="24"/>
        </w:rPr>
        <w:t>RADE</w:t>
      </w:r>
      <w:r>
        <w:rPr>
          <w:rFonts w:hint="eastAsia"/>
          <w:sz w:val="24"/>
        </w:rPr>
        <w:t>中心</w:t>
      </w:r>
    </w:p>
    <w:p>
      <w:pPr>
        <w:spacing w:line="200" w:lineRule="exact"/>
        <w:jc w:val="left"/>
        <w:rPr>
          <w:sz w:val="24"/>
        </w:rPr>
      </w:pPr>
    </w:p>
    <w:p>
      <w:pPr>
        <w:spacing w:line="320" w:lineRule="exact"/>
        <w:jc w:val="left"/>
        <w:rPr>
          <w:rFonts w:eastAsia="黑体"/>
          <w:b/>
          <w:sz w:val="24"/>
        </w:rPr>
      </w:pPr>
      <w:r>
        <w:rPr>
          <w:rFonts w:hint="eastAsia"/>
          <w:sz w:val="24"/>
        </w:rPr>
        <w:t xml:space="preserve"> </w:t>
      </w:r>
      <w:r>
        <w:rPr>
          <w:sz w:val="24"/>
        </w:rPr>
        <w:t xml:space="preserve">          </w:t>
      </w:r>
      <w:r>
        <w:rPr>
          <w:rFonts w:eastAsia="黑体"/>
          <w:b/>
          <w:sz w:val="24"/>
        </w:rPr>
        <w:t xml:space="preserve"> </w:t>
      </w:r>
      <w:r>
        <w:rPr>
          <w:rFonts w:hint="eastAsia" w:eastAsia="黑体"/>
          <w:b/>
          <w:sz w:val="24"/>
        </w:rPr>
        <w:t xml:space="preserve">时 </w:t>
      </w:r>
      <w:r>
        <w:rPr>
          <w:rFonts w:eastAsia="黑体"/>
          <w:b/>
          <w:sz w:val="24"/>
        </w:rPr>
        <w:t xml:space="preserve">   </w:t>
      </w:r>
      <w:r>
        <w:rPr>
          <w:rFonts w:hint="eastAsia" w:eastAsia="黑体"/>
          <w:b/>
          <w:sz w:val="24"/>
        </w:rPr>
        <w:t>间：2019年4月18-21日</w:t>
      </w:r>
    </w:p>
    <w:p>
      <w:pPr>
        <w:spacing w:line="200" w:lineRule="exact"/>
        <w:jc w:val="left"/>
        <w:rPr>
          <w:rFonts w:eastAsia="黑体"/>
          <w:b/>
          <w:sz w:val="24"/>
        </w:rPr>
      </w:pPr>
    </w:p>
    <w:p>
      <w:pPr>
        <w:spacing w:line="320" w:lineRule="exact"/>
        <w:rPr>
          <w:sz w:val="24"/>
        </w:rPr>
      </w:pPr>
      <w:r>
        <w:rPr>
          <w:rFonts w:hint="eastAsia" w:eastAsia="黑体"/>
          <w:b/>
          <w:sz w:val="24"/>
        </w:rPr>
        <w:t xml:space="preserve"> </w:t>
      </w:r>
      <w:r>
        <w:rPr>
          <w:rFonts w:eastAsia="黑体"/>
          <w:b/>
          <w:sz w:val="24"/>
        </w:rPr>
        <w:t xml:space="preserve">           </w:t>
      </w:r>
      <w:r>
        <w:rPr>
          <w:rFonts w:hint="eastAsia" w:eastAsia="黑体"/>
          <w:b/>
          <w:sz w:val="24"/>
        </w:rPr>
        <w:t xml:space="preserve">地 </w:t>
      </w:r>
      <w:r>
        <w:rPr>
          <w:rFonts w:eastAsia="黑体"/>
          <w:b/>
          <w:sz w:val="24"/>
        </w:rPr>
        <w:t xml:space="preserve">   </w:t>
      </w:r>
      <w:r>
        <w:rPr>
          <w:rFonts w:hint="eastAsia" w:eastAsia="黑体"/>
          <w:b/>
          <w:sz w:val="24"/>
        </w:rPr>
        <w:t>点：</w:t>
      </w:r>
      <w:r>
        <w:rPr>
          <w:sz w:val="24"/>
        </w:rPr>
        <w:t>兰州大学盘旋路校区大学生活动中心</w:t>
      </w:r>
    </w:p>
    <w:bookmarkEnd w:id="3"/>
    <w:p>
      <w:pPr>
        <w:spacing w:line="320" w:lineRule="exact"/>
        <w:rPr>
          <w:b/>
          <w:sz w:val="24"/>
        </w:rPr>
      </w:pPr>
    </w:p>
    <w:p>
      <w:pPr>
        <w:tabs>
          <w:tab w:val="left" w:pos="993"/>
        </w:tabs>
        <w:spacing w:after="156" w:afterLines="50"/>
        <w:jc w:val="center"/>
        <w:rPr>
          <w:rFonts w:eastAsia="微软雅黑"/>
          <w:b/>
          <w:sz w:val="30"/>
          <w:szCs w:val="30"/>
        </w:rPr>
      </w:pPr>
      <w:r>
        <w:rPr>
          <w:rFonts w:eastAsia="微软雅黑"/>
          <w:b/>
          <w:sz w:val="30"/>
          <w:szCs w:val="30"/>
        </w:rPr>
        <w:t>第一轮通知</w:t>
      </w:r>
    </w:p>
    <w:p>
      <w:pPr>
        <w:spacing w:line="400" w:lineRule="exact"/>
        <w:rPr>
          <w:sz w:val="24"/>
        </w:rPr>
      </w:pPr>
      <w:r>
        <w:rPr>
          <w:rFonts w:hint="eastAsia"/>
          <w:sz w:val="24"/>
        </w:rPr>
        <w:t xml:space="preserve">    </w:t>
      </w:r>
      <w:r>
        <w:rPr>
          <w:sz w:val="24"/>
        </w:rPr>
        <w:t>为进一步推广和普及循证医学方法，促进循证理念在多学科领域的应用，加强证据的转化和应用，由甘肃省医学会临床流行病学和循证医学分会、甘肃省医师协会循证医学分会、WHO指南实施与知识转化合作中心、GRADE中国中心、甘肃省人民医院、兰州大学循证社会科学研究中心</w:t>
      </w:r>
      <w:r>
        <w:rPr>
          <w:rFonts w:hint="eastAsia"/>
          <w:sz w:val="24"/>
        </w:rPr>
        <w:t>、</w:t>
      </w:r>
      <w:r>
        <w:rPr>
          <w:sz w:val="24"/>
        </w:rPr>
        <w:t>兰州大学循证医学中心</w:t>
      </w:r>
      <w:r>
        <w:rPr>
          <w:rFonts w:hint="eastAsia"/>
          <w:sz w:val="24"/>
        </w:rPr>
        <w:t>、</w:t>
      </w:r>
      <w:r>
        <w:rPr>
          <w:sz w:val="24"/>
        </w:rPr>
        <w:t>GIN Asia</w:t>
      </w:r>
      <w:r>
        <w:rPr>
          <w:rFonts w:hint="eastAsia"/>
          <w:sz w:val="24"/>
        </w:rPr>
        <w:t>和</w:t>
      </w:r>
      <w:r>
        <w:rPr>
          <w:sz w:val="24"/>
        </w:rPr>
        <w:t>Cochrane China Network GRADE and Guideline Working Group共同主办的2019循证科学与知识转化论坛、</w:t>
      </w:r>
      <w:r>
        <w:rPr>
          <w:bCs/>
          <w:kern w:val="0"/>
          <w:sz w:val="24"/>
        </w:rPr>
        <w:t>循证临床实践指南与GRADE方法学高级培训班、</w:t>
      </w:r>
      <w:r>
        <w:rPr>
          <w:sz w:val="24"/>
        </w:rPr>
        <w:t>首届</w:t>
      </w:r>
      <w:r>
        <w:rPr>
          <w:rFonts w:hint="eastAsia"/>
          <w:sz w:val="24"/>
        </w:rPr>
        <w:t>西北</w:t>
      </w:r>
      <w:r>
        <w:rPr>
          <w:sz w:val="24"/>
        </w:rPr>
        <w:t>地区临床流行病学和循证医学研讨会、甘肃省医学会临床流行病学和循证医学分会/甘肃省医师协会循证医学分会学术年会将于2019年4月18-21日在兰州大学召开。</w:t>
      </w:r>
      <w:r>
        <w:rPr>
          <w:rFonts w:ascii="黑体" w:hAnsi="黑体" w:eastAsia="黑体"/>
          <w:b/>
          <w:sz w:val="24"/>
        </w:rPr>
        <w:t>本次会议特邀循证医学创始人、加拿大皇家科学院院士、麦克马斯特大学Gordon Guyatt教授</w:t>
      </w:r>
      <w:r>
        <w:rPr>
          <w:sz w:val="24"/>
        </w:rPr>
        <w:t>，以及国内外循证医学领域知名专家进行讲座和授课。具体事项通知如下：</w:t>
      </w:r>
    </w:p>
    <w:p>
      <w:pPr>
        <w:spacing w:line="400" w:lineRule="exact"/>
        <w:rPr>
          <w:rFonts w:eastAsiaTheme="minorEastAsia"/>
          <w:sz w:val="24"/>
        </w:rPr>
      </w:pPr>
      <w:r>
        <w:rPr>
          <w:rFonts w:eastAsia="黑体"/>
          <w:b/>
          <w:sz w:val="24"/>
        </w:rPr>
        <w:t>报到时间</w:t>
      </w:r>
      <w:r>
        <w:rPr>
          <w:rFonts w:eastAsiaTheme="minorEastAsia"/>
          <w:b/>
          <w:sz w:val="24"/>
        </w:rPr>
        <w:t>：</w:t>
      </w:r>
    </w:p>
    <w:p>
      <w:pPr>
        <w:pStyle w:val="11"/>
        <w:numPr>
          <w:ilvl w:val="0"/>
          <w:numId w:val="1"/>
        </w:numPr>
        <w:spacing w:line="400" w:lineRule="exact"/>
        <w:ind w:firstLineChars="0"/>
        <w:rPr>
          <w:sz w:val="24"/>
        </w:rPr>
      </w:pPr>
      <w:r>
        <w:rPr>
          <w:sz w:val="24"/>
        </w:rPr>
        <w:t>循证临床实践指南与GRADE方法学高级培训班：2019年4月18日（09:00-21:00）</w:t>
      </w:r>
    </w:p>
    <w:p>
      <w:pPr>
        <w:pStyle w:val="11"/>
        <w:numPr>
          <w:ilvl w:val="0"/>
          <w:numId w:val="1"/>
        </w:numPr>
        <w:spacing w:line="400" w:lineRule="exact"/>
        <w:ind w:firstLineChars="0"/>
        <w:rPr>
          <w:sz w:val="24"/>
        </w:rPr>
      </w:pPr>
      <w:r>
        <w:rPr>
          <w:rFonts w:hint="eastAsia"/>
          <w:sz w:val="24"/>
        </w:rPr>
        <w:t>首届</w:t>
      </w:r>
      <w:r>
        <w:rPr>
          <w:sz w:val="24"/>
        </w:rPr>
        <w:t>西北地区临床流行病学和循证医学研讨会：2019年4月20日（09:00-21:00）</w:t>
      </w:r>
    </w:p>
    <w:p>
      <w:pPr>
        <w:spacing w:line="400" w:lineRule="exact"/>
        <w:rPr>
          <w:rFonts w:eastAsiaTheme="minorEastAsia"/>
          <w:sz w:val="24"/>
        </w:rPr>
      </w:pPr>
      <w:r>
        <w:rPr>
          <w:rFonts w:eastAsia="黑体"/>
          <w:b/>
          <w:sz w:val="24"/>
        </w:rPr>
        <w:t>报到地点</w:t>
      </w:r>
      <w:r>
        <w:rPr>
          <w:rFonts w:eastAsiaTheme="minorEastAsia"/>
          <w:b/>
          <w:sz w:val="24"/>
        </w:rPr>
        <w:t>：</w:t>
      </w:r>
    </w:p>
    <w:p>
      <w:pPr>
        <w:pStyle w:val="11"/>
        <w:numPr>
          <w:ilvl w:val="0"/>
          <w:numId w:val="1"/>
        </w:numPr>
        <w:spacing w:line="400" w:lineRule="exact"/>
        <w:ind w:firstLineChars="0"/>
        <w:rPr>
          <w:sz w:val="24"/>
        </w:rPr>
      </w:pPr>
      <w:r>
        <w:rPr>
          <w:sz w:val="24"/>
        </w:rPr>
        <w:t>甘肃省兰州市兰州大学萃英大酒店大堂（中国甘肃省兰州市城关区天水南路226号）</w:t>
      </w:r>
    </w:p>
    <w:p>
      <w:pPr>
        <w:spacing w:line="400" w:lineRule="exact"/>
        <w:rPr>
          <w:rFonts w:eastAsia="黑体"/>
          <w:b/>
          <w:bCs/>
          <w:kern w:val="0"/>
          <w:sz w:val="24"/>
        </w:rPr>
      </w:pPr>
      <w:r>
        <w:rPr>
          <w:rFonts w:eastAsia="黑体"/>
          <w:b/>
          <w:bCs/>
          <w:kern w:val="0"/>
          <w:sz w:val="24"/>
        </w:rPr>
        <w:t>征文：</w:t>
      </w:r>
    </w:p>
    <w:p>
      <w:pPr>
        <w:pStyle w:val="11"/>
        <w:spacing w:line="400" w:lineRule="exact"/>
        <w:ind w:left="420" w:firstLine="0" w:firstLineChars="0"/>
        <w:rPr>
          <w:bCs/>
          <w:kern w:val="0"/>
          <w:sz w:val="24"/>
        </w:rPr>
      </w:pPr>
      <w:r>
        <w:rPr>
          <w:bCs/>
          <w:kern w:val="0"/>
          <w:sz w:val="24"/>
        </w:rPr>
        <w:t>本次研讨会面向高校、医院、科研机构、医药企业等进行征文，具体要求如下：</w:t>
      </w:r>
    </w:p>
    <w:p>
      <w:pPr>
        <w:pStyle w:val="11"/>
        <w:numPr>
          <w:ilvl w:val="0"/>
          <w:numId w:val="2"/>
        </w:numPr>
        <w:spacing w:line="400" w:lineRule="exact"/>
        <w:ind w:firstLineChars="0"/>
        <w:rPr>
          <w:bCs/>
          <w:kern w:val="0"/>
          <w:sz w:val="24"/>
        </w:rPr>
      </w:pPr>
      <w:r>
        <w:rPr>
          <w:bCs/>
          <w:kern w:val="0"/>
          <w:sz w:val="24"/>
        </w:rPr>
        <w:t>稿件原则上须是本次会议前未在国内外同类学术期刊或会议上发表或交流的科研成果；</w:t>
      </w:r>
    </w:p>
    <w:p>
      <w:pPr>
        <w:pStyle w:val="11"/>
        <w:numPr>
          <w:ilvl w:val="0"/>
          <w:numId w:val="2"/>
        </w:numPr>
        <w:spacing w:line="400" w:lineRule="exact"/>
        <w:ind w:firstLineChars="0"/>
        <w:rPr>
          <w:bCs/>
          <w:kern w:val="0"/>
          <w:sz w:val="24"/>
        </w:rPr>
      </w:pPr>
      <w:r>
        <w:rPr>
          <w:bCs/>
          <w:kern w:val="0"/>
          <w:sz w:val="24"/>
        </w:rPr>
        <w:t>稿件请用中文，600字以内，摘要须按文题、作者、单位、邮编、电子邮件地址、研究背景、目的、方法、结果、结论的格式撰写；不适合撰写成结构式摘要的，可采用非结构式摘要，包括指示性摘要、报道性摘要和指示-报道性摘要，请勿提交全文；</w:t>
      </w:r>
    </w:p>
    <w:p>
      <w:pPr>
        <w:pStyle w:val="11"/>
        <w:numPr>
          <w:ilvl w:val="0"/>
          <w:numId w:val="2"/>
        </w:numPr>
        <w:spacing w:line="400" w:lineRule="exact"/>
        <w:ind w:firstLineChars="0"/>
        <w:rPr>
          <w:bCs/>
          <w:kern w:val="0"/>
          <w:sz w:val="24"/>
        </w:rPr>
      </w:pPr>
      <w:r>
        <w:rPr>
          <w:bCs/>
          <w:kern w:val="0"/>
          <w:sz w:val="24"/>
        </w:rPr>
        <w:t>稿件请围绕以下主题：临床实践指南与GRADE、系统评价/Meta分析前沿与进展、临床研究设计与实施、循证社会科学、循证诊断、循证麻醉、循证护理、循证康复、循证肿瘤学、卫生技术评估等；</w:t>
      </w:r>
    </w:p>
    <w:p>
      <w:pPr>
        <w:pStyle w:val="11"/>
        <w:numPr>
          <w:ilvl w:val="0"/>
          <w:numId w:val="3"/>
        </w:numPr>
        <w:spacing w:line="400" w:lineRule="exact"/>
        <w:ind w:left="420" w:firstLineChars="0"/>
        <w:rPr>
          <w:bCs/>
          <w:kern w:val="0"/>
          <w:sz w:val="24"/>
        </w:rPr>
      </w:pPr>
      <w:r>
        <w:rPr>
          <w:bCs/>
          <w:kern w:val="0"/>
          <w:sz w:val="24"/>
        </w:rPr>
        <w:t>投稿时间：2019年1月10日至3月10日；投稿请统一发送至邮箱：ebm2019@163.com</w:t>
      </w:r>
      <w:r>
        <w:rPr>
          <w:rFonts w:hint="eastAsia"/>
          <w:bCs/>
          <w:kern w:val="0"/>
          <w:sz w:val="24"/>
        </w:rPr>
        <w:t>；</w:t>
      </w:r>
    </w:p>
    <w:p>
      <w:pPr>
        <w:pStyle w:val="11"/>
        <w:numPr>
          <w:ilvl w:val="0"/>
          <w:numId w:val="3"/>
        </w:numPr>
        <w:spacing w:line="400" w:lineRule="exact"/>
        <w:ind w:left="420" w:firstLineChars="0"/>
        <w:rPr>
          <w:bCs/>
          <w:kern w:val="0"/>
          <w:sz w:val="24"/>
        </w:rPr>
      </w:pPr>
      <w:r>
        <w:rPr>
          <w:rFonts w:hint="eastAsia"/>
          <w:bCs/>
          <w:kern w:val="0"/>
          <w:sz w:val="24"/>
        </w:rPr>
        <w:t>录用通知时间：</w:t>
      </w:r>
      <w:r>
        <w:rPr>
          <w:bCs/>
          <w:kern w:val="0"/>
          <w:sz w:val="24"/>
        </w:rPr>
        <w:t>2019</w:t>
      </w:r>
      <w:r>
        <w:rPr>
          <w:rFonts w:hint="eastAsia"/>
          <w:bCs/>
          <w:kern w:val="0"/>
          <w:sz w:val="24"/>
        </w:rPr>
        <w:t>年</w:t>
      </w:r>
      <w:r>
        <w:rPr>
          <w:bCs/>
          <w:kern w:val="0"/>
          <w:sz w:val="24"/>
        </w:rPr>
        <w:t>3</w:t>
      </w:r>
      <w:r>
        <w:rPr>
          <w:rFonts w:hint="eastAsia"/>
          <w:bCs/>
          <w:kern w:val="0"/>
          <w:sz w:val="24"/>
        </w:rPr>
        <w:t>月</w:t>
      </w:r>
      <w:r>
        <w:rPr>
          <w:bCs/>
          <w:kern w:val="0"/>
          <w:sz w:val="24"/>
        </w:rPr>
        <w:t>14</w:t>
      </w:r>
      <w:r>
        <w:rPr>
          <w:rFonts w:hint="eastAsia"/>
          <w:bCs/>
          <w:kern w:val="0"/>
          <w:sz w:val="24"/>
        </w:rPr>
        <w:t>日；</w:t>
      </w:r>
    </w:p>
    <w:p>
      <w:pPr>
        <w:pStyle w:val="11"/>
        <w:numPr>
          <w:ilvl w:val="0"/>
          <w:numId w:val="3"/>
        </w:numPr>
        <w:spacing w:line="400" w:lineRule="exact"/>
        <w:ind w:left="420" w:firstLineChars="0"/>
        <w:rPr>
          <w:bCs/>
          <w:kern w:val="0"/>
          <w:sz w:val="24"/>
        </w:rPr>
      </w:pPr>
      <w:r>
        <w:rPr>
          <w:rFonts w:hint="eastAsia"/>
          <w:bCs/>
          <w:kern w:val="0"/>
          <w:sz w:val="24"/>
        </w:rPr>
        <w:t>录用形式：书面交流与口头汇报，口头汇报时间为</w:t>
      </w:r>
      <w:r>
        <w:rPr>
          <w:bCs/>
          <w:kern w:val="0"/>
          <w:sz w:val="24"/>
        </w:rPr>
        <w:t>15</w:t>
      </w:r>
      <w:r>
        <w:rPr>
          <w:rFonts w:hint="eastAsia"/>
          <w:bCs/>
          <w:kern w:val="0"/>
          <w:sz w:val="24"/>
        </w:rPr>
        <w:t>分钟，摘要被录用者参会费用自理。</w:t>
      </w:r>
    </w:p>
    <w:p>
      <w:pPr>
        <w:spacing w:line="400" w:lineRule="exact"/>
        <w:rPr>
          <w:kern w:val="0"/>
          <w:sz w:val="24"/>
        </w:rPr>
      </w:pPr>
      <w:r>
        <w:rPr>
          <w:rFonts w:eastAsia="黑体"/>
          <w:b/>
          <w:bCs/>
          <w:kern w:val="0"/>
          <w:sz w:val="24"/>
        </w:rPr>
        <w:t>会议费</w:t>
      </w:r>
      <w:r>
        <w:rPr>
          <w:kern w:val="0"/>
          <w:sz w:val="24"/>
        </w:rPr>
        <w:t>：</w:t>
      </w:r>
    </w:p>
    <w:p>
      <w:pPr>
        <w:pStyle w:val="11"/>
        <w:numPr>
          <w:ilvl w:val="0"/>
          <w:numId w:val="4"/>
        </w:numPr>
        <w:spacing w:line="400" w:lineRule="exact"/>
        <w:ind w:firstLineChars="0"/>
        <w:rPr>
          <w:bCs/>
          <w:kern w:val="0"/>
          <w:sz w:val="24"/>
        </w:rPr>
      </w:pPr>
      <w:r>
        <w:rPr>
          <w:bCs/>
          <w:kern w:val="0"/>
          <w:sz w:val="24"/>
        </w:rPr>
        <w:t>循证临床实践指南与GRADE方法学高级培训班：3月1日前缴费3500元/人，3月1日至4月17日缴费4000元/人，现场报名并缴费4500元/人。由于本次培训班采用小班精品授课，总人数限招60人</w:t>
      </w:r>
      <w:r>
        <w:rPr>
          <w:rFonts w:hint="eastAsia"/>
          <w:bCs/>
          <w:kern w:val="0"/>
          <w:sz w:val="24"/>
        </w:rPr>
        <w:t>；</w:t>
      </w:r>
    </w:p>
    <w:p>
      <w:pPr>
        <w:pStyle w:val="11"/>
        <w:numPr>
          <w:ilvl w:val="0"/>
          <w:numId w:val="4"/>
        </w:numPr>
        <w:spacing w:line="400" w:lineRule="exact"/>
        <w:ind w:firstLineChars="0"/>
        <w:rPr>
          <w:bCs/>
          <w:kern w:val="0"/>
          <w:sz w:val="24"/>
        </w:rPr>
      </w:pPr>
      <w:r>
        <w:rPr>
          <w:rFonts w:hint="eastAsia"/>
          <w:bCs/>
          <w:kern w:val="0"/>
          <w:sz w:val="24"/>
        </w:rPr>
        <w:t>首届</w:t>
      </w:r>
      <w:r>
        <w:rPr>
          <w:bCs/>
          <w:kern w:val="0"/>
          <w:sz w:val="24"/>
        </w:rPr>
        <w:t>西北地区临床流行病学和循证医学论坛：3月1日前缴费600元/人，3月1日后800元/人。学生凭有效证件500元/人</w:t>
      </w:r>
      <w:r>
        <w:rPr>
          <w:rFonts w:hint="eastAsia"/>
          <w:bCs/>
          <w:kern w:val="0"/>
          <w:sz w:val="24"/>
        </w:rPr>
        <w:t>；</w:t>
      </w:r>
    </w:p>
    <w:p>
      <w:pPr>
        <w:pStyle w:val="11"/>
        <w:numPr>
          <w:ilvl w:val="0"/>
          <w:numId w:val="4"/>
        </w:numPr>
        <w:spacing w:line="400" w:lineRule="exact"/>
        <w:ind w:firstLineChars="0"/>
        <w:rPr>
          <w:bCs/>
          <w:kern w:val="0"/>
          <w:sz w:val="24"/>
        </w:rPr>
      </w:pPr>
      <w:r>
        <w:rPr>
          <w:bCs/>
          <w:kern w:val="0"/>
          <w:sz w:val="24"/>
        </w:rPr>
        <w:t>“循证临床实践指南与GRADE方法学高级培训班”的学员可免费参加4月21日</w:t>
      </w:r>
      <w:r>
        <w:rPr>
          <w:rFonts w:hint="eastAsia"/>
          <w:bCs/>
          <w:kern w:val="0"/>
          <w:sz w:val="24"/>
        </w:rPr>
        <w:t>首届</w:t>
      </w:r>
      <w:r>
        <w:rPr>
          <w:bCs/>
          <w:kern w:val="0"/>
          <w:sz w:val="24"/>
        </w:rPr>
        <w:t>西北地区临床流行病学和循证医学研讨会。</w:t>
      </w:r>
    </w:p>
    <w:p>
      <w:pPr>
        <w:spacing w:line="400" w:lineRule="exact"/>
        <w:rPr>
          <w:rFonts w:eastAsia="黑体"/>
          <w:b/>
          <w:bCs/>
          <w:kern w:val="0"/>
          <w:sz w:val="24"/>
        </w:rPr>
      </w:pPr>
      <w:r>
        <w:rPr>
          <w:rFonts w:eastAsia="黑体"/>
          <w:b/>
          <w:bCs/>
          <w:kern w:val="0"/>
          <w:sz w:val="24"/>
        </w:rPr>
        <w:t>咨询：</w:t>
      </w:r>
    </w:p>
    <w:p>
      <w:pPr>
        <w:pStyle w:val="11"/>
        <w:numPr>
          <w:ilvl w:val="0"/>
          <w:numId w:val="5"/>
        </w:numPr>
        <w:spacing w:line="400" w:lineRule="exact"/>
        <w:ind w:firstLineChars="0"/>
        <w:rPr>
          <w:bCs/>
          <w:kern w:val="0"/>
          <w:sz w:val="24"/>
        </w:rPr>
      </w:pPr>
      <w:r>
        <w:rPr>
          <w:bCs/>
          <w:kern w:val="0"/>
          <w:sz w:val="24"/>
        </w:rPr>
        <w:t>培训班：刘萧 18393817364；研讨会：周奇 13008725858；学术合作与支持：葛龙 13893192463</w:t>
      </w:r>
    </w:p>
    <w:p>
      <w:pPr>
        <w:pStyle w:val="11"/>
        <w:numPr>
          <w:ilvl w:val="0"/>
          <w:numId w:val="5"/>
        </w:numPr>
        <w:spacing w:line="400" w:lineRule="exact"/>
        <w:ind w:firstLineChars="0"/>
        <w:rPr>
          <w:bCs/>
          <w:kern w:val="0"/>
          <w:sz w:val="24"/>
        </w:rPr>
      </w:pPr>
      <w:r>
        <w:rPr>
          <w:bCs/>
          <w:kern w:val="0"/>
          <w:sz w:val="24"/>
        </w:rPr>
        <w:t>会务、缴费与交通住宿：孙丽娜 18609484520</w:t>
      </w:r>
    </w:p>
    <w:p>
      <w:pPr>
        <w:spacing w:line="400" w:lineRule="exact"/>
        <w:rPr>
          <w:kern w:val="0"/>
          <w:sz w:val="24"/>
        </w:rPr>
      </w:pPr>
      <w:r>
        <w:rPr>
          <w:rFonts w:eastAsia="黑体"/>
          <w:b/>
          <w:bCs/>
          <w:kern w:val="0"/>
          <w:sz w:val="24"/>
        </w:rPr>
        <w:t>报名与缴费方式</w:t>
      </w:r>
      <w:r>
        <w:rPr>
          <w:kern w:val="0"/>
          <w:sz w:val="24"/>
        </w:rPr>
        <w:t>：</w:t>
      </w:r>
    </w:p>
    <w:p>
      <w:pPr>
        <w:pStyle w:val="11"/>
        <w:numPr>
          <w:ilvl w:val="0"/>
          <w:numId w:val="6"/>
        </w:numPr>
        <w:spacing w:line="400" w:lineRule="exact"/>
        <w:ind w:firstLineChars="0"/>
        <w:rPr>
          <w:kern w:val="0"/>
          <w:sz w:val="24"/>
        </w:rPr>
      </w:pPr>
      <w:r>
        <w:rPr>
          <w:kern w:val="0"/>
          <w:sz w:val="24"/>
        </w:rPr>
        <w:t>报名从即日起开始，请扫描二维码加入微信群</w:t>
      </w:r>
    </w:p>
    <w:p>
      <w:pPr>
        <w:spacing w:line="400" w:lineRule="exact"/>
        <w:ind w:firstLine="480"/>
        <w:rPr>
          <w:bCs/>
          <w:kern w:val="0"/>
          <w:sz w:val="24"/>
        </w:rPr>
      </w:pPr>
      <w:r>
        <w:drawing>
          <wp:anchor distT="0" distB="0" distL="114300" distR="114300" simplePos="0" relativeHeight="251662336" behindDoc="0" locked="0" layoutInCell="1" allowOverlap="1">
            <wp:simplePos x="0" y="0"/>
            <wp:positionH relativeFrom="column">
              <wp:posOffset>3780155</wp:posOffset>
            </wp:positionH>
            <wp:positionV relativeFrom="paragraph">
              <wp:posOffset>335915</wp:posOffset>
            </wp:positionV>
            <wp:extent cx="1096645" cy="1096645"/>
            <wp:effectExtent l="0" t="0" r="0" b="0"/>
            <wp:wrapTopAndBottom/>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96547" cy="1096547"/>
                    </a:xfrm>
                    <a:prstGeom prst="rect">
                      <a:avLst/>
                    </a:prstGeom>
                  </pic:spPr>
                </pic:pic>
              </a:graphicData>
            </a:graphic>
          </wp:anchor>
        </w:drawing>
      </w:r>
      <w:r>
        <w:rPr>
          <w:kern w:val="0"/>
          <w:sz w:val="24"/>
        </w:rPr>
        <w:t>1.参加</w:t>
      </w:r>
      <w:r>
        <w:rPr>
          <w:bCs/>
          <w:kern w:val="0"/>
          <w:sz w:val="24"/>
        </w:rPr>
        <w:t>“循证临床实践指南与GRADE方法学高级培训班”请扫以下二维码入群</w:t>
      </w:r>
      <w:r>
        <w:rPr>
          <w:rFonts w:hint="eastAsia"/>
          <w:bCs/>
          <w:kern w:val="0"/>
          <w:sz w:val="24"/>
        </w:rPr>
        <w:t>。</w:t>
      </w:r>
      <w:r>
        <w:rPr>
          <w:bCs/>
          <w:kern w:val="0"/>
          <w:sz w:val="24"/>
        </w:rPr>
        <w:t>（备注单位及姓名）</w:t>
      </w:r>
    </w:p>
    <w:p>
      <w:pPr>
        <w:pStyle w:val="11"/>
        <w:spacing w:line="400" w:lineRule="exact"/>
        <w:rPr>
          <w:bCs/>
          <w:kern w:val="0"/>
          <w:sz w:val="24"/>
        </w:rPr>
      </w:pPr>
      <w:r>
        <w:drawing>
          <wp:anchor distT="0" distB="0" distL="114300" distR="114300" simplePos="0" relativeHeight="251663360" behindDoc="0" locked="0" layoutInCell="1" allowOverlap="1">
            <wp:simplePos x="0" y="0"/>
            <wp:positionH relativeFrom="column">
              <wp:posOffset>3750310</wp:posOffset>
            </wp:positionH>
            <wp:positionV relativeFrom="paragraph">
              <wp:posOffset>335280</wp:posOffset>
            </wp:positionV>
            <wp:extent cx="1094105" cy="1094105"/>
            <wp:effectExtent l="0" t="0" r="0" b="0"/>
            <wp:wrapThrough wrapText="bothSides">
              <wp:wrapPolygon>
                <wp:start x="0" y="0"/>
                <wp:lineTo x="0" y="21312"/>
                <wp:lineTo x="21312" y="21312"/>
                <wp:lineTo x="21312" y="0"/>
                <wp:lineTo x="0" y="0"/>
              </wp:wrapPolygon>
            </wp:wrapThrough>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flipV="1">
                      <a:off x="0" y="0"/>
                      <a:ext cx="1094400" cy="1094400"/>
                    </a:xfrm>
                    <a:prstGeom prst="rect">
                      <a:avLst/>
                    </a:prstGeom>
                  </pic:spPr>
                </pic:pic>
              </a:graphicData>
            </a:graphic>
          </wp:anchor>
        </w:drawing>
      </w:r>
      <w:r>
        <w:rPr>
          <w:kern w:val="0"/>
          <w:sz w:val="24"/>
        </w:rPr>
        <w:t>2.参加</w:t>
      </w:r>
      <w:r>
        <w:rPr>
          <w:rFonts w:hint="eastAsia"/>
          <w:kern w:val="0"/>
          <w:sz w:val="24"/>
        </w:rPr>
        <w:t>首届</w:t>
      </w:r>
      <w:r>
        <w:rPr>
          <w:bCs/>
          <w:kern w:val="0"/>
          <w:sz w:val="24"/>
        </w:rPr>
        <w:t>西北地区临床流行病学和循证医学研讨会请扫以下二维码入群。（备注单位及姓名）</w:t>
      </w:r>
    </w:p>
    <w:p>
      <w:pPr>
        <w:pStyle w:val="11"/>
        <w:spacing w:line="400" w:lineRule="exact"/>
        <w:ind w:firstLine="480"/>
        <w:rPr>
          <w:bCs/>
          <w:kern w:val="0"/>
          <w:sz w:val="24"/>
        </w:rPr>
      </w:pPr>
      <w:r>
        <w:rPr>
          <w:bCs/>
          <w:kern w:val="0"/>
          <w:sz w:val="24"/>
        </w:rPr>
        <w:drawing>
          <wp:inline distT="0" distB="0" distL="0" distR="0">
            <wp:extent cx="8806815" cy="8240395"/>
            <wp:effectExtent l="0" t="0" r="0" b="1905"/>
            <wp:docPr id="3" name="图片 3" descr="C:\Users\Administrator\Desktop\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2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8819599" cy="8252579"/>
                    </a:xfrm>
                    <a:prstGeom prst="rect">
                      <a:avLst/>
                    </a:prstGeom>
                    <a:noFill/>
                    <a:ln>
                      <a:noFill/>
                    </a:ln>
                  </pic:spPr>
                </pic:pic>
              </a:graphicData>
            </a:graphic>
          </wp:inline>
        </w:drawing>
      </w:r>
    </w:p>
    <w:p>
      <w:pPr>
        <w:pStyle w:val="11"/>
        <w:numPr>
          <w:ilvl w:val="0"/>
          <w:numId w:val="6"/>
        </w:numPr>
        <w:spacing w:line="400" w:lineRule="exact"/>
        <w:ind w:firstLineChars="0"/>
        <w:rPr>
          <w:kern w:val="0"/>
          <w:sz w:val="24"/>
        </w:rPr>
      </w:pPr>
      <w:r>
        <w:rPr>
          <w:kern w:val="0"/>
          <w:sz w:val="24"/>
        </w:rPr>
        <w:t>缴费请按以下方式：</w:t>
      </w:r>
    </w:p>
    <w:p>
      <w:pPr>
        <w:spacing w:line="400" w:lineRule="exact"/>
        <w:rPr>
          <w:kern w:val="0"/>
          <w:sz w:val="24"/>
        </w:rPr>
      </w:pPr>
      <w:r>
        <w:rPr>
          <w:rFonts w:hint="eastAsia"/>
          <w:kern w:val="0"/>
          <w:sz w:val="24"/>
        </w:rPr>
        <w:t xml:space="preserve">   </w:t>
      </w:r>
      <w:r>
        <w:rPr>
          <w:kern w:val="0"/>
          <w:sz w:val="24"/>
        </w:rPr>
        <w:t>1.汇款公账： 户  名：兰州五鼎商务会展有限公司</w:t>
      </w:r>
    </w:p>
    <w:p>
      <w:pPr>
        <w:pStyle w:val="11"/>
        <w:spacing w:line="400" w:lineRule="exact"/>
        <w:ind w:firstLine="0" w:firstLineChars="0"/>
        <w:rPr>
          <w:kern w:val="0"/>
          <w:sz w:val="24"/>
        </w:rPr>
      </w:pPr>
      <w:r>
        <w:rPr>
          <w:kern w:val="0"/>
          <w:sz w:val="24"/>
        </w:rPr>
        <w:t xml:space="preserve">                账  号：2703 0016 0920 0124 595 </w:t>
      </w:r>
    </w:p>
    <w:p>
      <w:pPr>
        <w:pStyle w:val="11"/>
        <w:spacing w:line="400" w:lineRule="exact"/>
        <w:ind w:firstLine="1920" w:firstLineChars="800"/>
        <w:rPr>
          <w:kern w:val="0"/>
          <w:sz w:val="24"/>
        </w:rPr>
      </w:pPr>
      <w:r>
        <w:rPr>
          <w:kern w:val="0"/>
          <w:sz w:val="24"/>
        </w:rPr>
        <w:t>开户行：中国工商银行股份有限公司兰州庆阳路支行</w:t>
      </w:r>
    </w:p>
    <w:p>
      <w:pPr>
        <w:pStyle w:val="11"/>
        <w:spacing w:line="400" w:lineRule="exact"/>
        <w:ind w:firstLine="0" w:firstLineChars="0"/>
        <w:rPr>
          <w:kern w:val="0"/>
          <w:sz w:val="24"/>
        </w:rPr>
      </w:pPr>
      <w:r>
        <w:rPr>
          <w:kern w:val="0"/>
          <w:sz w:val="24"/>
        </w:rPr>
        <w:t xml:space="preserve"> </w:t>
      </w:r>
      <w:r>
        <w:rPr>
          <w:rFonts w:hint="eastAsia"/>
          <w:kern w:val="0"/>
          <w:sz w:val="24"/>
        </w:rPr>
        <w:t xml:space="preserve">  </w:t>
      </w:r>
      <w:r>
        <w:rPr>
          <w:kern w:val="0"/>
          <w:sz w:val="24"/>
        </w:rPr>
        <w:t>备注：汇款后请留凭证带至报道现场或截屏发至会务人员孙丽娜18609484520</w:t>
      </w:r>
      <w:r>
        <w:rPr>
          <w:rFonts w:hint="eastAsia"/>
          <w:kern w:val="0"/>
          <w:sz w:val="24"/>
        </w:rPr>
        <w:t>。</w:t>
      </w:r>
    </w:p>
    <w:p>
      <w:pPr>
        <w:spacing w:line="400" w:lineRule="exact"/>
        <w:rPr>
          <w:kern w:val="0"/>
          <w:sz w:val="24"/>
        </w:rPr>
      </w:pPr>
      <w:r>
        <w:rPr>
          <w:rFonts w:hint="eastAsia"/>
          <w:kern w:val="0"/>
          <w:sz w:val="24"/>
        </w:rPr>
        <w:t xml:space="preserve">   2</w:t>
      </w:r>
      <w:r>
        <w:rPr>
          <w:kern w:val="0"/>
          <w:sz w:val="24"/>
        </w:rPr>
        <w:t>.扫码汇款：（支持微信，支付宝）</w:t>
      </w:r>
    </w:p>
    <w:p>
      <w:pPr>
        <w:spacing w:line="400" w:lineRule="exact"/>
        <w:rPr>
          <w:kern w:val="0"/>
          <w:sz w:val="24"/>
        </w:rPr>
      </w:pPr>
      <w:r>
        <w:rPr>
          <w:kern w:val="0"/>
          <w:sz w:val="24"/>
        </w:rPr>
        <w:drawing>
          <wp:anchor distT="0" distB="0" distL="114300" distR="114300" simplePos="0" relativeHeight="251661312" behindDoc="0" locked="0" layoutInCell="1" allowOverlap="1">
            <wp:simplePos x="0" y="0"/>
            <wp:positionH relativeFrom="column">
              <wp:posOffset>3757295</wp:posOffset>
            </wp:positionH>
            <wp:positionV relativeFrom="paragraph">
              <wp:posOffset>43180</wp:posOffset>
            </wp:positionV>
            <wp:extent cx="1134110" cy="1134110"/>
            <wp:effectExtent l="0" t="0" r="0" b="0"/>
            <wp:wrapNone/>
            <wp:docPr id="5" name="图片 5" descr="C:\Users\Administrator\Desktop\微信图片_201901050928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微信图片_20190105092825.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flipV="1">
                      <a:off x="0" y="0"/>
                      <a:ext cx="1134000" cy="1134000"/>
                    </a:xfrm>
                    <a:prstGeom prst="rect">
                      <a:avLst/>
                    </a:prstGeom>
                    <a:noFill/>
                    <a:ln>
                      <a:noFill/>
                    </a:ln>
                  </pic:spPr>
                </pic:pic>
              </a:graphicData>
            </a:graphic>
          </wp:anchor>
        </w:drawing>
      </w:r>
    </w:p>
    <w:p>
      <w:pPr>
        <w:spacing w:line="400" w:lineRule="exact"/>
        <w:rPr>
          <w:kern w:val="0"/>
          <w:sz w:val="24"/>
        </w:rPr>
      </w:pPr>
    </w:p>
    <w:p>
      <w:pPr>
        <w:spacing w:line="400" w:lineRule="exact"/>
        <w:rPr>
          <w:kern w:val="0"/>
          <w:sz w:val="24"/>
        </w:rPr>
      </w:pPr>
    </w:p>
    <w:p>
      <w:pPr>
        <w:spacing w:line="400" w:lineRule="exact"/>
        <w:rPr>
          <w:kern w:val="0"/>
          <w:sz w:val="24"/>
        </w:rPr>
      </w:pPr>
    </w:p>
    <w:p>
      <w:pPr>
        <w:spacing w:line="400" w:lineRule="exact"/>
        <w:rPr>
          <w:kern w:val="0"/>
          <w:sz w:val="24"/>
        </w:rPr>
      </w:pPr>
    </w:p>
    <w:p>
      <w:pPr>
        <w:spacing w:line="400" w:lineRule="exact"/>
        <w:ind w:firstLine="420" w:firstLineChars="175"/>
        <w:rPr>
          <w:kern w:val="0"/>
          <w:sz w:val="24"/>
        </w:rPr>
      </w:pPr>
      <w:r>
        <w:rPr>
          <w:kern w:val="0"/>
          <w:sz w:val="24"/>
        </w:rPr>
        <w:t>备注：扫码汇款必须备注单位及姓名，如未备注，请及时与会务人员孙丽娜18609484520联系。</w:t>
      </w:r>
    </w:p>
    <w:p>
      <w:pPr>
        <w:pStyle w:val="11"/>
        <w:numPr>
          <w:ilvl w:val="0"/>
          <w:numId w:val="6"/>
        </w:numPr>
        <w:spacing w:line="400" w:lineRule="exact"/>
        <w:ind w:firstLineChars="0"/>
        <w:rPr>
          <w:kern w:val="0"/>
          <w:sz w:val="24"/>
        </w:rPr>
      </w:pPr>
      <w:r>
        <w:rPr>
          <w:kern w:val="0"/>
          <w:sz w:val="24"/>
        </w:rPr>
        <w:t>开票请按以下方式</w:t>
      </w:r>
    </w:p>
    <w:p>
      <w:pPr>
        <w:pStyle w:val="11"/>
        <w:spacing w:after="156" w:afterLines="50" w:line="400" w:lineRule="exact"/>
        <w:ind w:firstLine="240" w:firstLineChars="100"/>
        <w:rPr>
          <w:kern w:val="0"/>
          <w:sz w:val="24"/>
        </w:rPr>
      </w:pPr>
      <w:r>
        <w:rPr>
          <w:kern w:val="0"/>
          <w:sz w:val="24"/>
        </w:rPr>
        <w:t>1.开具增值税发票说明，提前汇款及扫码汇款可提前开具发票。请将以下表格填好后，并将电子版反馈至会务人员孙丽娜18609484520，以便报道当天提前领取发票。</w:t>
      </w:r>
    </w:p>
    <w:tbl>
      <w:tblPr>
        <w:tblStyle w:val="10"/>
        <w:tblW w:w="10409" w:type="dxa"/>
        <w:tblInd w:w="782" w:type="dxa"/>
        <w:tblLayout w:type="fixed"/>
        <w:tblCellMar>
          <w:top w:w="15" w:type="dxa"/>
          <w:left w:w="15" w:type="dxa"/>
          <w:bottom w:w="15" w:type="dxa"/>
          <w:right w:w="15" w:type="dxa"/>
        </w:tblCellMar>
      </w:tblPr>
      <w:tblGrid>
        <w:gridCol w:w="1782"/>
        <w:gridCol w:w="928"/>
        <w:gridCol w:w="1481"/>
        <w:gridCol w:w="1275"/>
        <w:gridCol w:w="1020"/>
        <w:gridCol w:w="1021"/>
        <w:gridCol w:w="1020"/>
        <w:gridCol w:w="1882"/>
      </w:tblGrid>
      <w:tr>
        <w:tblPrEx>
          <w:tblLayout w:type="fixed"/>
          <w:tblCellMar>
            <w:top w:w="15" w:type="dxa"/>
            <w:left w:w="15" w:type="dxa"/>
            <w:bottom w:w="15" w:type="dxa"/>
            <w:right w:w="15" w:type="dxa"/>
          </w:tblCellMar>
        </w:tblPrEx>
        <w:trPr>
          <w:trHeight w:val="598" w:hRule="atLeast"/>
        </w:trPr>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b/>
                <w:color w:val="000000"/>
                <w:sz w:val="32"/>
                <w:szCs w:val="32"/>
              </w:rPr>
            </w:pPr>
            <w:r>
              <w:rPr>
                <w:b/>
                <w:color w:val="000000"/>
                <w:kern w:val="0"/>
                <w:sz w:val="32"/>
                <w:szCs w:val="32"/>
                <w:lang w:bidi="ar"/>
              </w:rPr>
              <w:t>发票反馈表</w:t>
            </w:r>
          </w:p>
        </w:tc>
      </w:tr>
      <w:tr>
        <w:tblPrEx>
          <w:tblLayout w:type="fixed"/>
          <w:tblCellMar>
            <w:top w:w="15" w:type="dxa"/>
            <w:left w:w="15" w:type="dxa"/>
            <w:bottom w:w="15" w:type="dxa"/>
            <w:right w:w="15" w:type="dxa"/>
          </w:tblCellMar>
        </w:tblPrEx>
        <w:trPr>
          <w:trHeight w:val="420" w:hRule="atLeast"/>
        </w:trPr>
        <w:tc>
          <w:tcPr>
            <w:tcW w:w="271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*姓名：</w:t>
            </w:r>
          </w:p>
        </w:tc>
        <w:tc>
          <w:tcPr>
            <w:tcW w:w="27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*联系电话：</w:t>
            </w:r>
          </w:p>
        </w:tc>
        <w:tc>
          <w:tcPr>
            <w:tcW w:w="4943"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tabs>
                <w:tab w:val="left" w:pos="674"/>
              </w:tabs>
              <w:jc w:val="left"/>
              <w:textAlignment w:val="center"/>
              <w:rPr>
                <w:color w:val="000000"/>
                <w:sz w:val="24"/>
              </w:rPr>
            </w:pPr>
            <w:r>
              <w:rPr>
                <w:color w:val="000000"/>
                <w:sz w:val="24"/>
              </w:rPr>
              <w:t>*缴费方式：汇款□   扫码□</w:t>
            </w:r>
          </w:p>
        </w:tc>
      </w:tr>
      <w:tr>
        <w:tblPrEx>
          <w:tblLayout w:type="fixed"/>
          <w:tblCellMar>
            <w:top w:w="15" w:type="dxa"/>
            <w:left w:w="15" w:type="dxa"/>
            <w:bottom w:w="15" w:type="dxa"/>
            <w:right w:w="15" w:type="dxa"/>
          </w:tblCellMar>
        </w:tblPrEx>
        <w:trPr>
          <w:trHeight w:val="420" w:hRule="atLeast"/>
        </w:trPr>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ind w:left="240" w:hanging="240" w:hangingChars="100"/>
              <w:jc w:val="left"/>
              <w:textAlignment w:val="center"/>
              <w:rPr>
                <w:color w:val="000000"/>
                <w:sz w:val="24"/>
              </w:rPr>
            </w:pPr>
            <w:r>
              <w:rPr>
                <w:color w:val="000000"/>
                <w:kern w:val="0"/>
                <w:sz w:val="24"/>
                <w:lang w:bidi="ar"/>
              </w:rPr>
              <w:t>专票、普票备注（要求）</w:t>
            </w:r>
          </w:p>
        </w:tc>
        <w:tc>
          <w:tcPr>
            <w:tcW w:w="8627" w:type="dxa"/>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sz w:val="24"/>
              </w:rPr>
              <w:t>增值税专用发票需填写以下全部内容，增值税普通发票只需填写带*即可。</w:t>
            </w:r>
          </w:p>
        </w:tc>
      </w:tr>
      <w:tr>
        <w:tblPrEx>
          <w:tblLayout w:type="fixed"/>
          <w:tblCellMar>
            <w:top w:w="15" w:type="dxa"/>
            <w:left w:w="15" w:type="dxa"/>
            <w:bottom w:w="15" w:type="dxa"/>
            <w:right w:w="15" w:type="dxa"/>
          </w:tblCellMar>
        </w:tblPrEx>
        <w:trPr>
          <w:trHeight w:val="420" w:hRule="atLeast"/>
        </w:trPr>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 开票单位名称：</w:t>
            </w:r>
          </w:p>
        </w:tc>
      </w:tr>
      <w:tr>
        <w:tblPrEx>
          <w:tblLayout w:type="fixed"/>
          <w:tblCellMar>
            <w:top w:w="15" w:type="dxa"/>
            <w:left w:w="15" w:type="dxa"/>
            <w:bottom w:w="15" w:type="dxa"/>
            <w:right w:w="15" w:type="dxa"/>
          </w:tblCellMar>
        </w:tblPrEx>
        <w:trPr>
          <w:trHeight w:val="420" w:hRule="atLeast"/>
        </w:trPr>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 纳税人识别号：</w:t>
            </w:r>
          </w:p>
        </w:tc>
      </w:tr>
      <w:tr>
        <w:tblPrEx>
          <w:tblLayout w:type="fixed"/>
          <w:tblCellMar>
            <w:top w:w="15" w:type="dxa"/>
            <w:left w:w="15" w:type="dxa"/>
            <w:bottom w:w="15" w:type="dxa"/>
            <w:right w:w="15" w:type="dxa"/>
          </w:tblCellMar>
        </w:tblPrEx>
        <w:trPr>
          <w:trHeight w:val="420" w:hRule="atLeast"/>
        </w:trPr>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地址及电话：</w:t>
            </w:r>
          </w:p>
        </w:tc>
      </w:tr>
      <w:tr>
        <w:tblPrEx>
          <w:tblLayout w:type="fixed"/>
          <w:tblCellMar>
            <w:top w:w="15" w:type="dxa"/>
            <w:left w:w="15" w:type="dxa"/>
            <w:bottom w:w="15" w:type="dxa"/>
            <w:right w:w="15" w:type="dxa"/>
          </w:tblCellMar>
        </w:tblPrEx>
        <w:trPr>
          <w:trHeight w:val="513" w:hRule="atLeast"/>
        </w:trPr>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开户行及账号：</w:t>
            </w:r>
          </w:p>
        </w:tc>
      </w:tr>
      <w:tr>
        <w:tblPrEx>
          <w:tblLayout w:type="fixed"/>
          <w:tblCellMar>
            <w:top w:w="15" w:type="dxa"/>
            <w:left w:w="15" w:type="dxa"/>
            <w:bottom w:w="15" w:type="dxa"/>
            <w:right w:w="15" w:type="dxa"/>
          </w:tblCellMar>
        </w:tblPrEx>
        <w:trPr>
          <w:trHeight w:val="420" w:hRule="atLeast"/>
        </w:trPr>
        <w:tc>
          <w:tcPr>
            <w:tcW w:w="178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*开票项目</w:t>
            </w:r>
          </w:p>
        </w:tc>
        <w:tc>
          <w:tcPr>
            <w:tcW w:w="9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*单价</w:t>
            </w:r>
          </w:p>
        </w:tc>
        <w:tc>
          <w:tcPr>
            <w:tcW w:w="148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*数量</w:t>
            </w:r>
          </w:p>
        </w:tc>
        <w:tc>
          <w:tcPr>
            <w:tcW w:w="6218"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*金  额</w:t>
            </w:r>
          </w:p>
        </w:tc>
      </w:tr>
      <w:tr>
        <w:tblPrEx>
          <w:tblLayout w:type="fixed"/>
          <w:tblCellMar>
            <w:top w:w="15" w:type="dxa"/>
            <w:left w:w="15" w:type="dxa"/>
            <w:bottom w:w="15" w:type="dxa"/>
            <w:right w:w="15" w:type="dxa"/>
          </w:tblCellMar>
        </w:tblPrEx>
        <w:trPr>
          <w:trHeight w:val="420" w:hRule="atLeast"/>
        </w:trPr>
        <w:tc>
          <w:tcPr>
            <w:tcW w:w="178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rPr>
            </w:pPr>
          </w:p>
        </w:tc>
        <w:tc>
          <w:tcPr>
            <w:tcW w:w="9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color w:val="000000"/>
                <w:sz w:val="24"/>
              </w:rPr>
            </w:pPr>
          </w:p>
        </w:tc>
        <w:tc>
          <w:tcPr>
            <w:tcW w:w="1481" w:type="dxa"/>
            <w:vMerge w:val="continue"/>
            <w:tcBorders>
              <w:left w:val="single" w:color="000000" w:sz="4" w:space="0"/>
              <w:bottom w:val="single" w:color="000000" w:sz="4" w:space="0"/>
              <w:right w:val="single" w:color="000000" w:sz="4" w:space="0"/>
            </w:tcBorders>
            <w:shd w:val="clear" w:color="auto" w:fill="auto"/>
            <w:vAlign w:val="center"/>
          </w:tcPr>
          <w:p>
            <w:pPr>
              <w:jc w:val="center"/>
              <w:rPr>
                <w:color w:val="000000"/>
                <w:sz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万</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千</w:t>
            </w: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百</w:t>
            </w: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十</w:t>
            </w: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color w:val="000000"/>
                <w:sz w:val="24"/>
              </w:rPr>
            </w:pPr>
            <w:r>
              <w:rPr>
                <w:color w:val="000000"/>
                <w:kern w:val="0"/>
                <w:sz w:val="24"/>
                <w:lang w:bidi="ar"/>
              </w:rPr>
              <w:t>元</w:t>
            </w:r>
          </w:p>
        </w:tc>
      </w:tr>
      <w:tr>
        <w:tblPrEx>
          <w:tblLayout w:type="fixed"/>
          <w:tblCellMar>
            <w:top w:w="15" w:type="dxa"/>
            <w:left w:w="15" w:type="dxa"/>
            <w:bottom w:w="15" w:type="dxa"/>
            <w:right w:w="15" w:type="dxa"/>
          </w:tblCellMar>
        </w:tblPrEx>
        <w:trPr>
          <w:trHeight w:val="420" w:hRule="atLeast"/>
        </w:trPr>
        <w:tc>
          <w:tcPr>
            <w:tcW w:w="17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928"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148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1275"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1021"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c>
          <w:tcPr>
            <w:tcW w:w="188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color w:val="000000"/>
                <w:sz w:val="24"/>
              </w:rPr>
            </w:pPr>
          </w:p>
        </w:tc>
      </w:tr>
      <w:tr>
        <w:tblPrEx>
          <w:tblLayout w:type="fixed"/>
          <w:tblCellMar>
            <w:top w:w="15" w:type="dxa"/>
            <w:left w:w="15" w:type="dxa"/>
            <w:bottom w:w="15" w:type="dxa"/>
            <w:right w:w="15" w:type="dxa"/>
          </w:tblCellMar>
        </w:tblPrEx>
        <w:trPr>
          <w:trHeight w:val="420" w:hRule="atLeast"/>
        </w:trPr>
        <w:tc>
          <w:tcPr>
            <w:tcW w:w="10409"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color w:val="000000"/>
                <w:sz w:val="24"/>
              </w:rPr>
            </w:pPr>
            <w:r>
              <w:rPr>
                <w:color w:val="000000"/>
                <w:kern w:val="0"/>
                <w:sz w:val="24"/>
                <w:lang w:bidi="ar"/>
              </w:rPr>
              <w:t>*金额总计：</w:t>
            </w:r>
          </w:p>
        </w:tc>
      </w:tr>
      <w:tr>
        <w:tblPrEx>
          <w:tblLayout w:type="fixed"/>
          <w:tblCellMar>
            <w:top w:w="15" w:type="dxa"/>
            <w:left w:w="15" w:type="dxa"/>
            <w:bottom w:w="15" w:type="dxa"/>
            <w:right w:w="15" w:type="dxa"/>
          </w:tblCellMar>
        </w:tblPrEx>
        <w:trPr>
          <w:trHeight w:val="420" w:hRule="atLeast"/>
        </w:trPr>
        <w:tc>
          <w:tcPr>
            <w:tcW w:w="10409" w:type="dxa"/>
            <w:gridSpan w:val="8"/>
            <w:shd w:val="clear" w:color="auto" w:fill="auto"/>
            <w:vAlign w:val="center"/>
          </w:tcPr>
          <w:p>
            <w:pPr>
              <w:widowControl/>
              <w:jc w:val="left"/>
              <w:textAlignment w:val="center"/>
              <w:rPr>
                <w:color w:val="000000"/>
                <w:sz w:val="24"/>
              </w:rPr>
            </w:pPr>
            <w:r>
              <w:rPr>
                <w:color w:val="000000"/>
                <w:kern w:val="0"/>
                <w:sz w:val="24"/>
                <w:lang w:bidi="ar"/>
              </w:rPr>
              <w:t>注意事项：请仔细填写上面各项、</w:t>
            </w:r>
            <w:r>
              <w:rPr>
                <w:color w:val="000000"/>
                <w:sz w:val="24"/>
              </w:rPr>
              <w:t xml:space="preserve"> 带*是必填项目、</w:t>
            </w:r>
            <w:r>
              <w:rPr>
                <w:color w:val="000000"/>
                <w:kern w:val="0"/>
                <w:sz w:val="24"/>
                <w:lang w:bidi="ar"/>
              </w:rPr>
              <w:t>发票一经开出、不予更换、请各位学员认真、谨慎填写。</w:t>
            </w:r>
            <w:r>
              <w:rPr>
                <w:color w:val="000000"/>
                <w:sz w:val="24"/>
              </w:rPr>
              <w:t>开票项目：会议费或会务费（任选一）</w:t>
            </w:r>
          </w:p>
        </w:tc>
      </w:tr>
    </w:tbl>
    <w:p>
      <w:pPr>
        <w:spacing w:line="400" w:lineRule="exact"/>
        <w:rPr>
          <w:kern w:val="0"/>
          <w:sz w:val="24"/>
        </w:rPr>
      </w:pPr>
    </w:p>
    <w:p>
      <w:pPr>
        <w:pStyle w:val="18"/>
        <w:keepNext/>
        <w:keepLines/>
        <w:shd w:val="clear" w:color="auto" w:fill="auto"/>
        <w:spacing w:before="0" w:after="0"/>
        <w:ind w:firstLine="4620" w:firstLineChars="1100"/>
        <w:jc w:val="both"/>
        <w:rPr>
          <w:rFonts w:ascii="宋体" w:hAnsi="宋体" w:eastAsia="宋体" w:cs="Times New Roman"/>
        </w:rPr>
      </w:pPr>
      <w:bookmarkStart w:id="2" w:name="bookmark3"/>
      <w:r>
        <w:rPr>
          <w:rFonts w:ascii="宋体" w:hAnsi="宋体" w:eastAsia="宋体" w:cs="Times New Roman"/>
          <w:color w:val="000000"/>
          <w:lang w:val="zh-CN" w:bidi="zh-CN"/>
        </w:rPr>
        <w:t>报 名 回 执</w:t>
      </w:r>
      <w:bookmarkEnd w:id="2"/>
      <w:r>
        <w:rPr>
          <w:rFonts w:ascii="宋体" w:hAnsi="宋体" w:eastAsia="宋体" w:cs="Times New Roman"/>
          <w:color w:val="000000"/>
          <w:lang w:val="zh-CN" w:bidi="zh-CN"/>
        </w:rPr>
        <w:t xml:space="preserve"> </w:t>
      </w:r>
      <w:r>
        <w:rPr>
          <w:rFonts w:ascii="宋体" w:hAnsi="宋体" w:eastAsia="宋体" w:cs="Times New Roman"/>
          <w:color w:val="000000"/>
          <w:lang w:bidi="zh-CN"/>
        </w:rPr>
        <w:t xml:space="preserve">表  </w:t>
      </w:r>
    </w:p>
    <w:p>
      <w:pPr>
        <w:pStyle w:val="19"/>
        <w:framePr w:w="13853" w:wrap="notBeside" w:vAnchor="text" w:hAnchor="text" w:xAlign="center" w:y="1"/>
        <w:shd w:val="clear" w:color="auto" w:fill="auto"/>
        <w:jc w:val="left"/>
        <w:rPr>
          <w:rFonts w:ascii="Times New Roman" w:hAnsi="Times New Roman" w:cs="Times New Roman"/>
        </w:rPr>
      </w:pPr>
    </w:p>
    <w:tbl>
      <w:tblPr>
        <w:tblStyle w:val="10"/>
        <w:tblW w:w="12216" w:type="dxa"/>
        <w:tblInd w:w="567" w:type="dxa"/>
        <w:tblLayout w:type="fixed"/>
        <w:tblCellMar>
          <w:top w:w="0" w:type="dxa"/>
          <w:left w:w="10" w:type="dxa"/>
          <w:bottom w:w="0" w:type="dxa"/>
          <w:right w:w="10" w:type="dxa"/>
        </w:tblCellMar>
      </w:tblPr>
      <w:tblGrid>
        <w:gridCol w:w="607"/>
        <w:gridCol w:w="985"/>
        <w:gridCol w:w="915"/>
        <w:gridCol w:w="855"/>
        <w:gridCol w:w="1065"/>
        <w:gridCol w:w="3635"/>
        <w:gridCol w:w="2045"/>
        <w:gridCol w:w="2109"/>
      </w:tblGrid>
      <w:tr>
        <w:tblPrEx>
          <w:tblLayout w:type="fixed"/>
          <w:tblCellMar>
            <w:top w:w="0" w:type="dxa"/>
            <w:left w:w="10" w:type="dxa"/>
            <w:bottom w:w="0" w:type="dxa"/>
            <w:right w:w="10" w:type="dxa"/>
          </w:tblCellMar>
        </w:tblPrEx>
        <w:trPr>
          <w:trHeight w:val="634" w:hRule="exact"/>
        </w:trPr>
        <w:tc>
          <w:tcPr>
            <w:tcW w:w="607" w:type="dxa"/>
            <w:tcBorders>
              <w:top w:val="single" w:color="auto" w:sz="4" w:space="0"/>
              <w:left w:val="single" w:color="auto" w:sz="4" w:space="0"/>
            </w:tcBorders>
            <w:shd w:val="clear" w:color="auto" w:fill="FFFFFF"/>
          </w:tcPr>
          <w:p>
            <w:pPr>
              <w:framePr w:w="13853" w:wrap="notBeside" w:vAnchor="text" w:hAnchor="text" w:xAlign="center" w:y="1"/>
              <w:rPr>
                <w:sz w:val="10"/>
                <w:szCs w:val="10"/>
              </w:rPr>
            </w:pPr>
          </w:p>
        </w:tc>
        <w:tc>
          <w:tcPr>
            <w:tcW w:w="985"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280" w:firstLine="0"/>
              <w:jc w:val="left"/>
              <w:rPr>
                <w:rFonts w:ascii="宋体" w:hAnsi="宋体" w:eastAsia="宋体" w:cs="Times New Roman"/>
              </w:rPr>
            </w:pPr>
            <w:r>
              <w:rPr>
                <w:rStyle w:val="21"/>
                <w:rFonts w:ascii="宋体" w:hAnsi="宋体" w:eastAsia="宋体" w:cs="Times New Roman"/>
              </w:rPr>
              <w:t>姓名</w:t>
            </w:r>
          </w:p>
        </w:tc>
        <w:tc>
          <w:tcPr>
            <w:tcW w:w="915"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宋体" w:hAnsi="宋体" w:eastAsia="宋体" w:cs="Times New Roman"/>
              </w:rPr>
            </w:pPr>
            <w:r>
              <w:rPr>
                <w:rStyle w:val="21"/>
                <w:rFonts w:ascii="宋体" w:hAnsi="宋体" w:eastAsia="宋体" w:cs="Times New Roman"/>
              </w:rPr>
              <w:t>学历</w:t>
            </w:r>
          </w:p>
        </w:tc>
        <w:tc>
          <w:tcPr>
            <w:tcW w:w="855"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宋体" w:hAnsi="宋体" w:eastAsia="宋体" w:cs="Times New Roman"/>
              </w:rPr>
            </w:pPr>
            <w:r>
              <w:rPr>
                <w:rStyle w:val="21"/>
                <w:rFonts w:ascii="宋体" w:hAnsi="宋体" w:eastAsia="宋体" w:cs="Times New Roman"/>
              </w:rPr>
              <w:t>职称</w:t>
            </w:r>
          </w:p>
        </w:tc>
        <w:tc>
          <w:tcPr>
            <w:tcW w:w="1065"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宋体" w:hAnsi="宋体" w:eastAsia="宋体" w:cs="Times New Roman"/>
              </w:rPr>
            </w:pPr>
            <w:r>
              <w:rPr>
                <w:rStyle w:val="21"/>
                <w:rFonts w:ascii="宋体" w:hAnsi="宋体" w:eastAsia="宋体" w:cs="Times New Roman"/>
              </w:rPr>
              <w:t>专业</w:t>
            </w:r>
          </w:p>
        </w:tc>
        <w:tc>
          <w:tcPr>
            <w:tcW w:w="3635"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firstLine="0"/>
              <w:rPr>
                <w:rFonts w:ascii="宋体" w:hAnsi="宋体" w:eastAsia="宋体" w:cs="Times New Roman"/>
              </w:rPr>
            </w:pPr>
            <w:r>
              <w:rPr>
                <w:rStyle w:val="21"/>
                <w:rFonts w:ascii="宋体" w:hAnsi="宋体" w:eastAsia="宋体" w:cs="Times New Roman"/>
              </w:rPr>
              <w:t>单位名称</w:t>
            </w:r>
          </w:p>
        </w:tc>
        <w:tc>
          <w:tcPr>
            <w:tcW w:w="2045"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firstLine="0"/>
              <w:rPr>
                <w:rFonts w:ascii="宋体" w:hAnsi="宋体" w:eastAsia="宋体" w:cs="Times New Roman"/>
              </w:rPr>
            </w:pPr>
            <w:r>
              <w:rPr>
                <w:rStyle w:val="21"/>
                <w:rFonts w:ascii="宋体" w:hAnsi="宋体" w:eastAsia="宋体" w:cs="Times New Roman"/>
              </w:rPr>
              <w:t>手机</w:t>
            </w:r>
          </w:p>
        </w:tc>
        <w:tc>
          <w:tcPr>
            <w:tcW w:w="2109" w:type="dxa"/>
            <w:tcBorders>
              <w:top w:val="single" w:color="auto" w:sz="4" w:space="0"/>
              <w:left w:val="single" w:color="auto" w:sz="4" w:space="0"/>
              <w:righ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360" w:firstLine="0"/>
              <w:jc w:val="left"/>
              <w:rPr>
                <w:rFonts w:ascii="宋体" w:hAnsi="宋体" w:eastAsia="宋体" w:cs="Times New Roman"/>
              </w:rPr>
            </w:pPr>
            <w:r>
              <w:rPr>
                <w:rStyle w:val="21"/>
                <w:rFonts w:ascii="宋体" w:hAnsi="宋体" w:eastAsia="宋体" w:cs="Times New Roman"/>
              </w:rPr>
              <w:t>邮箱</w:t>
            </w:r>
          </w:p>
        </w:tc>
      </w:tr>
      <w:tr>
        <w:tblPrEx>
          <w:tblLayout w:type="fixed"/>
          <w:tblCellMar>
            <w:top w:w="0" w:type="dxa"/>
            <w:left w:w="10" w:type="dxa"/>
            <w:bottom w:w="0" w:type="dxa"/>
            <w:right w:w="10" w:type="dxa"/>
          </w:tblCellMar>
        </w:tblPrEx>
        <w:trPr>
          <w:trHeight w:val="468" w:hRule="exact"/>
        </w:trPr>
        <w:tc>
          <w:tcPr>
            <w:tcW w:w="607"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Times New Roman" w:hAnsi="Times New Roman" w:cs="Times New Roman"/>
                <w:sz w:val="18"/>
                <w:szCs w:val="18"/>
              </w:rPr>
            </w:pPr>
            <w:r>
              <w:rPr>
                <w:rStyle w:val="21"/>
                <w:rFonts w:ascii="Times New Roman" w:hAnsi="Times New Roman" w:cs="Times New Roman"/>
                <w:sz w:val="18"/>
                <w:szCs w:val="18"/>
              </w:rPr>
              <w:t>1</w:t>
            </w:r>
          </w:p>
        </w:tc>
        <w:tc>
          <w:tcPr>
            <w:tcW w:w="98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91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85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106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363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04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109" w:type="dxa"/>
            <w:tcBorders>
              <w:top w:val="single" w:color="auto" w:sz="4" w:space="0"/>
              <w:left w:val="single" w:color="auto" w:sz="4" w:space="0"/>
              <w:right w:val="single" w:color="auto" w:sz="4" w:space="0"/>
            </w:tcBorders>
            <w:shd w:val="clear" w:color="auto" w:fill="FFFFFF"/>
          </w:tcPr>
          <w:p>
            <w:pPr>
              <w:framePr w:w="13853" w:wrap="notBeside" w:vAnchor="text" w:hAnchor="text" w:xAlign="center" w:y="1"/>
              <w:rPr>
                <w:sz w:val="18"/>
                <w:szCs w:val="18"/>
              </w:rPr>
            </w:pPr>
          </w:p>
        </w:tc>
      </w:tr>
      <w:tr>
        <w:tblPrEx>
          <w:tblLayout w:type="fixed"/>
          <w:tblCellMar>
            <w:top w:w="0" w:type="dxa"/>
            <w:left w:w="10" w:type="dxa"/>
            <w:bottom w:w="0" w:type="dxa"/>
            <w:right w:w="10" w:type="dxa"/>
          </w:tblCellMar>
        </w:tblPrEx>
        <w:trPr>
          <w:trHeight w:val="461" w:hRule="exact"/>
        </w:trPr>
        <w:tc>
          <w:tcPr>
            <w:tcW w:w="607"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Times New Roman" w:hAnsi="Times New Roman" w:cs="Times New Roman"/>
                <w:sz w:val="18"/>
                <w:szCs w:val="18"/>
              </w:rPr>
            </w:pPr>
            <w:r>
              <w:rPr>
                <w:rStyle w:val="21"/>
                <w:rFonts w:ascii="Times New Roman" w:hAnsi="Times New Roman" w:cs="Times New Roman"/>
                <w:sz w:val="18"/>
                <w:szCs w:val="18"/>
              </w:rPr>
              <w:t>2</w:t>
            </w:r>
          </w:p>
        </w:tc>
        <w:tc>
          <w:tcPr>
            <w:tcW w:w="98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91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85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106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363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04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109" w:type="dxa"/>
            <w:tcBorders>
              <w:top w:val="single" w:color="auto" w:sz="4" w:space="0"/>
              <w:left w:val="single" w:color="auto" w:sz="4" w:space="0"/>
              <w:right w:val="single" w:color="auto" w:sz="4" w:space="0"/>
            </w:tcBorders>
            <w:shd w:val="clear" w:color="auto" w:fill="FFFFFF"/>
          </w:tcPr>
          <w:p>
            <w:pPr>
              <w:framePr w:w="13853" w:wrap="notBeside" w:vAnchor="text" w:hAnchor="text" w:xAlign="center" w:y="1"/>
              <w:rPr>
                <w:sz w:val="18"/>
                <w:szCs w:val="18"/>
              </w:rPr>
            </w:pPr>
          </w:p>
        </w:tc>
      </w:tr>
      <w:tr>
        <w:tblPrEx>
          <w:tblLayout w:type="fixed"/>
          <w:tblCellMar>
            <w:top w:w="0" w:type="dxa"/>
            <w:left w:w="10" w:type="dxa"/>
            <w:bottom w:w="0" w:type="dxa"/>
            <w:right w:w="10" w:type="dxa"/>
          </w:tblCellMar>
        </w:tblPrEx>
        <w:trPr>
          <w:trHeight w:val="461" w:hRule="exact"/>
        </w:trPr>
        <w:tc>
          <w:tcPr>
            <w:tcW w:w="607"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Times New Roman" w:hAnsi="Times New Roman" w:cs="Times New Roman"/>
                <w:sz w:val="18"/>
                <w:szCs w:val="18"/>
              </w:rPr>
            </w:pPr>
            <w:r>
              <w:rPr>
                <w:rStyle w:val="21"/>
                <w:rFonts w:ascii="Times New Roman" w:hAnsi="Times New Roman" w:cs="Times New Roman"/>
                <w:sz w:val="18"/>
                <w:szCs w:val="18"/>
              </w:rPr>
              <w:t>3</w:t>
            </w:r>
          </w:p>
        </w:tc>
        <w:tc>
          <w:tcPr>
            <w:tcW w:w="98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91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85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106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363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04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109" w:type="dxa"/>
            <w:tcBorders>
              <w:top w:val="single" w:color="auto" w:sz="4" w:space="0"/>
              <w:left w:val="single" w:color="auto" w:sz="4" w:space="0"/>
              <w:right w:val="single" w:color="auto" w:sz="4" w:space="0"/>
            </w:tcBorders>
            <w:shd w:val="clear" w:color="auto" w:fill="FFFFFF"/>
          </w:tcPr>
          <w:p>
            <w:pPr>
              <w:framePr w:w="13853" w:wrap="notBeside" w:vAnchor="text" w:hAnchor="text" w:xAlign="center" w:y="1"/>
              <w:rPr>
                <w:sz w:val="18"/>
                <w:szCs w:val="18"/>
              </w:rPr>
            </w:pPr>
          </w:p>
        </w:tc>
      </w:tr>
      <w:tr>
        <w:tblPrEx>
          <w:tblLayout w:type="fixed"/>
          <w:tblCellMar>
            <w:top w:w="0" w:type="dxa"/>
            <w:left w:w="10" w:type="dxa"/>
            <w:bottom w:w="0" w:type="dxa"/>
            <w:right w:w="10" w:type="dxa"/>
          </w:tblCellMar>
        </w:tblPrEx>
        <w:trPr>
          <w:trHeight w:val="461" w:hRule="exact"/>
        </w:trPr>
        <w:tc>
          <w:tcPr>
            <w:tcW w:w="607"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Times New Roman" w:hAnsi="Times New Roman" w:cs="Times New Roman"/>
                <w:sz w:val="18"/>
                <w:szCs w:val="18"/>
              </w:rPr>
            </w:pPr>
            <w:r>
              <w:rPr>
                <w:rStyle w:val="21"/>
                <w:rFonts w:ascii="Times New Roman" w:hAnsi="Times New Roman" w:cs="Times New Roman"/>
                <w:sz w:val="18"/>
                <w:szCs w:val="18"/>
              </w:rPr>
              <w:t>4</w:t>
            </w:r>
          </w:p>
        </w:tc>
        <w:tc>
          <w:tcPr>
            <w:tcW w:w="98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91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85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106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363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04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109" w:type="dxa"/>
            <w:tcBorders>
              <w:top w:val="single" w:color="auto" w:sz="4" w:space="0"/>
              <w:left w:val="single" w:color="auto" w:sz="4" w:space="0"/>
              <w:right w:val="single" w:color="auto" w:sz="4" w:space="0"/>
            </w:tcBorders>
            <w:shd w:val="clear" w:color="auto" w:fill="FFFFFF"/>
          </w:tcPr>
          <w:p>
            <w:pPr>
              <w:framePr w:w="13853" w:wrap="notBeside" w:vAnchor="text" w:hAnchor="text" w:xAlign="center" w:y="1"/>
              <w:rPr>
                <w:sz w:val="18"/>
                <w:szCs w:val="18"/>
              </w:rPr>
            </w:pPr>
          </w:p>
        </w:tc>
      </w:tr>
      <w:tr>
        <w:tblPrEx>
          <w:tblLayout w:type="fixed"/>
          <w:tblCellMar>
            <w:top w:w="0" w:type="dxa"/>
            <w:left w:w="10" w:type="dxa"/>
            <w:bottom w:w="0" w:type="dxa"/>
            <w:right w:w="10" w:type="dxa"/>
          </w:tblCellMar>
        </w:tblPrEx>
        <w:trPr>
          <w:trHeight w:val="468" w:hRule="exact"/>
        </w:trPr>
        <w:tc>
          <w:tcPr>
            <w:tcW w:w="607" w:type="dxa"/>
            <w:tcBorders>
              <w:top w:val="single" w:color="auto" w:sz="4" w:space="0"/>
              <w:left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Fonts w:ascii="Times New Roman" w:hAnsi="Times New Roman" w:cs="Times New Roman"/>
                <w:sz w:val="18"/>
                <w:szCs w:val="18"/>
              </w:rPr>
            </w:pPr>
            <w:r>
              <w:rPr>
                <w:rStyle w:val="21"/>
                <w:rFonts w:ascii="Times New Roman" w:hAnsi="Times New Roman" w:cs="Times New Roman"/>
                <w:sz w:val="18"/>
                <w:szCs w:val="18"/>
              </w:rPr>
              <w:t>5</w:t>
            </w:r>
          </w:p>
        </w:tc>
        <w:tc>
          <w:tcPr>
            <w:tcW w:w="98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91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85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106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363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045" w:type="dxa"/>
            <w:tcBorders>
              <w:top w:val="single" w:color="auto" w:sz="4" w:space="0"/>
              <w:left w:val="single" w:color="auto" w:sz="4" w:space="0"/>
            </w:tcBorders>
            <w:shd w:val="clear" w:color="auto" w:fill="FFFFFF"/>
          </w:tcPr>
          <w:p>
            <w:pPr>
              <w:framePr w:w="13853" w:wrap="notBeside" w:vAnchor="text" w:hAnchor="text" w:xAlign="center" w:y="1"/>
              <w:rPr>
                <w:sz w:val="18"/>
                <w:szCs w:val="18"/>
              </w:rPr>
            </w:pPr>
          </w:p>
        </w:tc>
        <w:tc>
          <w:tcPr>
            <w:tcW w:w="2109" w:type="dxa"/>
            <w:tcBorders>
              <w:top w:val="single" w:color="auto" w:sz="4" w:space="0"/>
              <w:left w:val="single" w:color="auto" w:sz="4" w:space="0"/>
              <w:right w:val="single" w:color="auto" w:sz="4" w:space="0"/>
            </w:tcBorders>
            <w:shd w:val="clear" w:color="auto" w:fill="FFFFFF"/>
          </w:tcPr>
          <w:p>
            <w:pPr>
              <w:framePr w:w="13853" w:wrap="notBeside" w:vAnchor="text" w:hAnchor="text" w:xAlign="center" w:y="1"/>
              <w:rPr>
                <w:sz w:val="18"/>
                <w:szCs w:val="18"/>
              </w:rPr>
            </w:pPr>
          </w:p>
        </w:tc>
      </w:tr>
      <w:tr>
        <w:tblPrEx>
          <w:tblLayout w:type="fixed"/>
          <w:tblCellMar>
            <w:top w:w="0" w:type="dxa"/>
            <w:left w:w="10" w:type="dxa"/>
            <w:bottom w:w="0" w:type="dxa"/>
            <w:right w:w="10" w:type="dxa"/>
          </w:tblCellMar>
        </w:tblPrEx>
        <w:trPr>
          <w:trHeight w:val="482" w:hRule="exact"/>
        </w:trPr>
        <w:tc>
          <w:tcPr>
            <w:tcW w:w="607" w:type="dxa"/>
            <w:tcBorders>
              <w:top w:val="single" w:color="auto" w:sz="4" w:space="0"/>
              <w:left w:val="single" w:color="auto" w:sz="4" w:space="0"/>
              <w:bottom w:val="single" w:color="auto" w:sz="4" w:space="0"/>
            </w:tcBorders>
            <w:shd w:val="clear" w:color="auto" w:fill="FFFFFF"/>
            <w:vAlign w:val="center"/>
          </w:tcPr>
          <w:p>
            <w:pPr>
              <w:pStyle w:val="20"/>
              <w:framePr w:w="13853" w:wrap="notBeside" w:vAnchor="text" w:hAnchor="text" w:xAlign="center" w:y="1"/>
              <w:shd w:val="clear" w:color="auto" w:fill="auto"/>
              <w:spacing w:before="0" w:after="0" w:line="190" w:lineRule="exact"/>
              <w:ind w:left="160" w:firstLine="0"/>
              <w:jc w:val="left"/>
              <w:rPr>
                <w:rStyle w:val="21"/>
                <w:rFonts w:ascii="Times New Roman" w:hAnsi="Times New Roman" w:cs="Times New Roman"/>
                <w:sz w:val="18"/>
                <w:szCs w:val="18"/>
                <w:lang w:val="en-US"/>
              </w:rPr>
            </w:pPr>
            <w:r>
              <w:rPr>
                <w:rStyle w:val="21"/>
                <w:rFonts w:ascii="Times New Roman" w:hAnsi="Times New Roman" w:cs="Times New Roman"/>
                <w:sz w:val="18"/>
                <w:szCs w:val="18"/>
                <w:lang w:val="en-US"/>
              </w:rPr>
              <w:t>6</w:t>
            </w:r>
          </w:p>
        </w:tc>
        <w:tc>
          <w:tcPr>
            <w:tcW w:w="985" w:type="dxa"/>
            <w:tcBorders>
              <w:top w:val="single" w:color="auto" w:sz="4" w:space="0"/>
              <w:left w:val="single" w:color="auto" w:sz="4" w:space="0"/>
              <w:bottom w:val="single" w:color="auto" w:sz="4" w:space="0"/>
            </w:tcBorders>
            <w:shd w:val="clear" w:color="auto" w:fill="FFFFFF"/>
          </w:tcPr>
          <w:p>
            <w:pPr>
              <w:framePr w:w="13853" w:wrap="notBeside" w:vAnchor="text" w:hAnchor="text" w:xAlign="center" w:y="1"/>
              <w:rPr>
                <w:sz w:val="18"/>
                <w:szCs w:val="18"/>
              </w:rPr>
            </w:pPr>
          </w:p>
        </w:tc>
        <w:tc>
          <w:tcPr>
            <w:tcW w:w="915" w:type="dxa"/>
            <w:tcBorders>
              <w:top w:val="single" w:color="auto" w:sz="4" w:space="0"/>
              <w:left w:val="single" w:color="auto" w:sz="4" w:space="0"/>
              <w:bottom w:val="single" w:color="auto" w:sz="4" w:space="0"/>
            </w:tcBorders>
            <w:shd w:val="clear" w:color="auto" w:fill="FFFFFF"/>
          </w:tcPr>
          <w:p>
            <w:pPr>
              <w:framePr w:w="13853" w:wrap="notBeside" w:vAnchor="text" w:hAnchor="text" w:xAlign="center" w:y="1"/>
              <w:rPr>
                <w:sz w:val="18"/>
                <w:szCs w:val="18"/>
              </w:rPr>
            </w:pPr>
          </w:p>
        </w:tc>
        <w:tc>
          <w:tcPr>
            <w:tcW w:w="855" w:type="dxa"/>
            <w:tcBorders>
              <w:top w:val="single" w:color="auto" w:sz="4" w:space="0"/>
              <w:left w:val="single" w:color="auto" w:sz="4" w:space="0"/>
              <w:bottom w:val="single" w:color="auto" w:sz="4" w:space="0"/>
            </w:tcBorders>
            <w:shd w:val="clear" w:color="auto" w:fill="FFFFFF"/>
          </w:tcPr>
          <w:p>
            <w:pPr>
              <w:framePr w:w="13853" w:wrap="notBeside" w:vAnchor="text" w:hAnchor="text" w:xAlign="center" w:y="1"/>
              <w:rPr>
                <w:sz w:val="18"/>
                <w:szCs w:val="18"/>
              </w:rPr>
            </w:pPr>
          </w:p>
        </w:tc>
        <w:tc>
          <w:tcPr>
            <w:tcW w:w="1065" w:type="dxa"/>
            <w:tcBorders>
              <w:top w:val="single" w:color="auto" w:sz="4" w:space="0"/>
              <w:left w:val="single" w:color="auto" w:sz="4" w:space="0"/>
              <w:bottom w:val="single" w:color="auto" w:sz="4" w:space="0"/>
            </w:tcBorders>
            <w:shd w:val="clear" w:color="auto" w:fill="FFFFFF"/>
          </w:tcPr>
          <w:p>
            <w:pPr>
              <w:framePr w:w="13853" w:wrap="notBeside" w:vAnchor="text" w:hAnchor="text" w:xAlign="center" w:y="1"/>
              <w:rPr>
                <w:sz w:val="18"/>
                <w:szCs w:val="18"/>
              </w:rPr>
            </w:pPr>
          </w:p>
        </w:tc>
        <w:tc>
          <w:tcPr>
            <w:tcW w:w="3635" w:type="dxa"/>
            <w:tcBorders>
              <w:top w:val="single" w:color="auto" w:sz="4" w:space="0"/>
              <w:left w:val="single" w:color="auto" w:sz="4" w:space="0"/>
              <w:bottom w:val="single" w:color="auto" w:sz="4" w:space="0"/>
            </w:tcBorders>
            <w:shd w:val="clear" w:color="auto" w:fill="FFFFFF"/>
          </w:tcPr>
          <w:p>
            <w:pPr>
              <w:framePr w:w="13853" w:wrap="notBeside" w:vAnchor="text" w:hAnchor="text" w:xAlign="center" w:y="1"/>
              <w:rPr>
                <w:sz w:val="18"/>
                <w:szCs w:val="18"/>
              </w:rPr>
            </w:pPr>
          </w:p>
        </w:tc>
        <w:tc>
          <w:tcPr>
            <w:tcW w:w="2045" w:type="dxa"/>
            <w:tcBorders>
              <w:top w:val="single" w:color="auto" w:sz="4" w:space="0"/>
              <w:left w:val="single" w:color="auto" w:sz="4" w:space="0"/>
              <w:bottom w:val="single" w:color="auto" w:sz="4" w:space="0"/>
            </w:tcBorders>
            <w:shd w:val="clear" w:color="auto" w:fill="FFFFFF"/>
          </w:tcPr>
          <w:p>
            <w:pPr>
              <w:framePr w:w="13853" w:wrap="notBeside" w:vAnchor="text" w:hAnchor="text" w:xAlign="center" w:y="1"/>
              <w:rPr>
                <w:sz w:val="18"/>
                <w:szCs w:val="18"/>
              </w:rPr>
            </w:pPr>
          </w:p>
        </w:tc>
        <w:tc>
          <w:tcPr>
            <w:tcW w:w="2109" w:type="dxa"/>
            <w:tcBorders>
              <w:top w:val="single" w:color="auto" w:sz="4" w:space="0"/>
              <w:left w:val="single" w:color="auto" w:sz="4" w:space="0"/>
              <w:bottom w:val="single" w:color="auto" w:sz="4" w:space="0"/>
              <w:right w:val="single" w:color="auto" w:sz="4" w:space="0"/>
            </w:tcBorders>
            <w:shd w:val="clear" w:color="auto" w:fill="FFFFFF"/>
          </w:tcPr>
          <w:p>
            <w:pPr>
              <w:framePr w:w="13853" w:wrap="notBeside" w:vAnchor="text" w:hAnchor="text" w:xAlign="center" w:y="1"/>
              <w:rPr>
                <w:sz w:val="18"/>
                <w:szCs w:val="18"/>
              </w:rPr>
            </w:pPr>
          </w:p>
        </w:tc>
      </w:tr>
    </w:tbl>
    <w:p>
      <w:pPr>
        <w:spacing w:line="400" w:lineRule="exact"/>
        <w:rPr>
          <w:kern w:val="0"/>
          <w:sz w:val="18"/>
          <w:szCs w:val="18"/>
        </w:rPr>
      </w:pPr>
    </w:p>
    <w:p>
      <w:pPr>
        <w:spacing w:line="400" w:lineRule="exact"/>
        <w:rPr>
          <w:b/>
          <w:kern w:val="0"/>
          <w:sz w:val="24"/>
        </w:rPr>
      </w:pPr>
      <w:r>
        <w:rPr>
          <w:rFonts w:eastAsia="黑体"/>
          <w:b/>
          <w:kern w:val="0"/>
          <w:sz w:val="24"/>
        </w:rPr>
        <w:t>特别提醒</w:t>
      </w:r>
      <w:r>
        <w:rPr>
          <w:b/>
          <w:kern w:val="0"/>
          <w:sz w:val="24"/>
        </w:rPr>
        <w:t>：</w:t>
      </w:r>
    </w:p>
    <w:p>
      <w:pPr>
        <w:pStyle w:val="11"/>
        <w:numPr>
          <w:ilvl w:val="0"/>
          <w:numId w:val="6"/>
        </w:numPr>
        <w:spacing w:line="400" w:lineRule="exact"/>
        <w:ind w:firstLineChars="0"/>
        <w:rPr>
          <w:kern w:val="0"/>
          <w:sz w:val="24"/>
        </w:rPr>
      </w:pPr>
      <w:r>
        <w:rPr>
          <w:kern w:val="0"/>
          <w:sz w:val="24"/>
        </w:rPr>
        <w:t>3月1日前报名参加</w:t>
      </w:r>
      <w:r>
        <w:rPr>
          <w:bCs/>
          <w:kern w:val="0"/>
          <w:sz w:val="24"/>
        </w:rPr>
        <w:t>“循证临床实践指南与GRADE方法学高级培训班”</w:t>
      </w:r>
      <w:r>
        <w:rPr>
          <w:kern w:val="0"/>
          <w:sz w:val="24"/>
        </w:rPr>
        <w:t>的学员，有机会参加4月18日晚19:00-21:00举办的</w:t>
      </w:r>
      <w:r>
        <w:rPr>
          <w:sz w:val="24"/>
        </w:rPr>
        <w:t>“</w:t>
      </w:r>
      <w:r>
        <w:rPr>
          <w:color w:val="000000" w:themeColor="text1"/>
          <w:sz w:val="24"/>
          <w14:textFill>
            <w14:solidFill>
              <w14:schemeClr w14:val="tx1"/>
            </w14:solidFill>
          </w14:textFill>
        </w:rPr>
        <w:t>与大师对话：如何成为一名杰出的科学家”学术沙龙</w:t>
      </w:r>
      <w:r>
        <w:rPr>
          <w:sz w:val="24"/>
        </w:rPr>
        <w:t>。Gordon Guyatt教授亲临沙龙，面对面指导学员如何规划未来的学术生涯，做一流研究，出一流成果。</w:t>
      </w:r>
    </w:p>
    <w:p>
      <w:pPr>
        <w:pStyle w:val="11"/>
        <w:numPr>
          <w:ilvl w:val="0"/>
          <w:numId w:val="6"/>
        </w:numPr>
        <w:spacing w:line="400" w:lineRule="exact"/>
        <w:ind w:firstLineChars="0"/>
        <w:rPr>
          <w:kern w:val="0"/>
          <w:sz w:val="24"/>
        </w:rPr>
      </w:pPr>
      <w:r>
        <w:rPr>
          <w:sz w:val="24"/>
        </w:rPr>
        <w:t>参加并考核通过</w:t>
      </w:r>
      <w:r>
        <w:rPr>
          <w:bCs/>
          <w:kern w:val="0"/>
          <w:sz w:val="24"/>
        </w:rPr>
        <w:t>“循证临床实践指南与GRADE方法学高级培训班”</w:t>
      </w:r>
      <w:r>
        <w:rPr>
          <w:kern w:val="0"/>
          <w:sz w:val="24"/>
        </w:rPr>
        <w:t>的学员，将获得</w:t>
      </w:r>
      <w:r>
        <w:rPr>
          <w:sz w:val="24"/>
        </w:rPr>
        <w:t>Gordon Guyatt教授签名并亲自授予的结业证书。</w:t>
      </w:r>
    </w:p>
    <w:p>
      <w:pPr>
        <w:spacing w:line="400" w:lineRule="exact"/>
        <w:rPr>
          <w:rFonts w:eastAsia="黑体"/>
          <w:b/>
          <w:bCs/>
          <w:kern w:val="0"/>
          <w:sz w:val="24"/>
        </w:rPr>
      </w:pPr>
      <w:r>
        <w:rPr>
          <w:rFonts w:eastAsia="黑体"/>
          <w:b/>
          <w:bCs/>
          <w:kern w:val="0"/>
          <w:sz w:val="24"/>
        </w:rPr>
        <w:t>其他事项：</w:t>
      </w:r>
    </w:p>
    <w:p>
      <w:pPr>
        <w:pStyle w:val="11"/>
        <w:numPr>
          <w:ilvl w:val="0"/>
          <w:numId w:val="6"/>
        </w:numPr>
        <w:spacing w:line="400" w:lineRule="exact"/>
        <w:ind w:firstLineChars="0"/>
        <w:rPr>
          <w:sz w:val="24"/>
        </w:rPr>
      </w:pPr>
      <w:r>
        <w:rPr>
          <w:kern w:val="0"/>
          <w:sz w:val="24"/>
        </w:rPr>
        <w:t>请自备电脑。</w:t>
      </w:r>
      <w:r>
        <w:rPr>
          <w:sz w:val="24"/>
        </w:rPr>
        <w:t>由于培训班名额有限，参会者须提前咨询、缴费。交通和食宿费用敬请自理。</w:t>
      </w:r>
    </w:p>
    <w:p>
      <w:pPr>
        <w:spacing w:line="400" w:lineRule="exact"/>
        <w:rPr>
          <w:rFonts w:eastAsia="黑体"/>
          <w:b/>
          <w:bCs/>
          <w:kern w:val="0"/>
          <w:sz w:val="24"/>
        </w:rPr>
      </w:pPr>
      <w:r>
        <w:rPr>
          <w:rFonts w:hint="eastAsia" w:eastAsia="黑体"/>
          <w:b/>
          <w:bCs/>
          <w:kern w:val="0"/>
          <w:sz w:val="24"/>
        </w:rPr>
        <w:t>日程：</w:t>
      </w:r>
    </w:p>
    <w:sectPr>
      <w:headerReference r:id="rId5" w:type="default"/>
      <w:pgSz w:w="16838" w:h="11906" w:orient="landscape"/>
      <w:pgMar w:top="1800" w:right="1440" w:bottom="1800" w:left="144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PMingLiU">
    <w:altName w:val="PMingLiU-ExtB"/>
    <w:panose1 w:val="02020500000000000000"/>
    <w:charset w:val="88"/>
    <w:family w:val="roman"/>
    <w:pitch w:val="default"/>
    <w:sig w:usb0="00000000" w:usb1="00000000" w:usb2="00000016" w:usb3="00000000" w:csb0="00100001"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swiss"/>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wordWrap w:val="0"/>
      <w:jc w:val="right"/>
    </w:pPr>
    <w:r>
      <w:drawing>
        <wp:inline distT="0" distB="0" distL="0" distR="0">
          <wp:extent cx="501650" cy="5016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01650" cy="501650"/>
                  </a:xfrm>
                  <a:prstGeom prst="rect">
                    <a:avLst/>
                  </a:prstGeom>
                </pic:spPr>
              </pic:pic>
            </a:graphicData>
          </a:graphic>
        </wp:inline>
      </w:drawing>
    </w:r>
    <w:r>
      <w:rPr>
        <w:rFonts w:hint="eastAsia"/>
      </w:rPr>
      <w:t xml:space="preserve"> </w:t>
    </w:r>
    <w:r>
      <w:t xml:space="preserve">  </w:t>
    </w:r>
    <w:r>
      <w:drawing>
        <wp:inline distT="0" distB="0" distL="0" distR="0">
          <wp:extent cx="1847850" cy="547370"/>
          <wp:effectExtent l="0" t="0" r="0" b="508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860996" cy="551445"/>
                  </a:xfrm>
                  <a:prstGeom prst="rect">
                    <a:avLst/>
                  </a:prstGeom>
                </pic:spPr>
              </pic:pic>
            </a:graphicData>
          </a:graphic>
        </wp:inline>
      </w:drawing>
    </w:r>
    <w:r>
      <w:drawing>
        <wp:inline distT="0" distB="0" distL="0" distR="0">
          <wp:extent cx="1117600" cy="52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 cstate="print">
                    <a:extLst>
                      <a:ext uri="{28A0092B-C50C-407E-A947-70E740481C1C}">
                        <a14:useLocalDpi xmlns:a14="http://schemas.microsoft.com/office/drawing/2010/main" val="0"/>
                      </a:ext>
                    </a:extLst>
                  </a:blip>
                  <a:srcRect b="11534"/>
                  <a:stretch>
                    <a:fillRect/>
                  </a:stretch>
                </pic:blipFill>
                <pic:spPr>
                  <a:xfrm>
                    <a:off x="0" y="0"/>
                    <a:ext cx="1133478" cy="533585"/>
                  </a:xfrm>
                  <a:prstGeom prst="rect">
                    <a:avLst/>
                  </a:prstGeom>
                  <a:ln>
                    <a:noFill/>
                  </a:ln>
                </pic:spPr>
              </pic:pic>
            </a:graphicData>
          </a:graphic>
        </wp:inline>
      </w:drawing>
    </w:r>
    <w:r>
      <w:t xml:space="preserve">  </w:t>
    </w:r>
    <w:r>
      <w:drawing>
        <wp:inline distT="0" distB="0" distL="0" distR="0">
          <wp:extent cx="502285" cy="60325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0" y="0"/>
                    <a:ext cx="504890" cy="605868"/>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71EA"/>
    <w:multiLevelType w:val="multilevel"/>
    <w:tmpl w:val="05CE71E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
    <w:nsid w:val="06E53517"/>
    <w:multiLevelType w:val="multilevel"/>
    <w:tmpl w:val="06E5351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2">
    <w:nsid w:val="432F1DF6"/>
    <w:multiLevelType w:val="multilevel"/>
    <w:tmpl w:val="432F1DF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445650BB"/>
    <w:multiLevelType w:val="multilevel"/>
    <w:tmpl w:val="445650BB"/>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67A9006E"/>
    <w:multiLevelType w:val="multilevel"/>
    <w:tmpl w:val="67A900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76BE2F9A"/>
    <w:multiLevelType w:val="multilevel"/>
    <w:tmpl w:val="76BE2F9A"/>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num w:numId="1">
    <w:abstractNumId w:val="0"/>
  </w:num>
  <w:num w:numId="2">
    <w:abstractNumId w:val="4"/>
  </w:num>
  <w:num w:numId="3">
    <w:abstractNumId w:val="5"/>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1A33"/>
    <w:rsid w:val="0000119E"/>
    <w:rsid w:val="00012B64"/>
    <w:rsid w:val="0001310E"/>
    <w:rsid w:val="00013A84"/>
    <w:rsid w:val="00026F26"/>
    <w:rsid w:val="000465C9"/>
    <w:rsid w:val="0005601E"/>
    <w:rsid w:val="0008375B"/>
    <w:rsid w:val="00085A25"/>
    <w:rsid w:val="000B1FF6"/>
    <w:rsid w:val="000D0910"/>
    <w:rsid w:val="000D3E8C"/>
    <w:rsid w:val="000E1496"/>
    <w:rsid w:val="000F7A95"/>
    <w:rsid w:val="000F7BAA"/>
    <w:rsid w:val="00135BC8"/>
    <w:rsid w:val="00142354"/>
    <w:rsid w:val="001803B9"/>
    <w:rsid w:val="00187C54"/>
    <w:rsid w:val="001A5BCE"/>
    <w:rsid w:val="001B0ED4"/>
    <w:rsid w:val="001C3152"/>
    <w:rsid w:val="001C31C4"/>
    <w:rsid w:val="001E2D9D"/>
    <w:rsid w:val="001F592E"/>
    <w:rsid w:val="00203EED"/>
    <w:rsid w:val="00243BD5"/>
    <w:rsid w:val="00260AA3"/>
    <w:rsid w:val="00284B16"/>
    <w:rsid w:val="002A25DF"/>
    <w:rsid w:val="002A7DA4"/>
    <w:rsid w:val="002C11CB"/>
    <w:rsid w:val="002E72AB"/>
    <w:rsid w:val="002F49FA"/>
    <w:rsid w:val="002F7E67"/>
    <w:rsid w:val="003139FF"/>
    <w:rsid w:val="00341B60"/>
    <w:rsid w:val="00346422"/>
    <w:rsid w:val="00365915"/>
    <w:rsid w:val="00370664"/>
    <w:rsid w:val="00372BBB"/>
    <w:rsid w:val="00382EB1"/>
    <w:rsid w:val="003974C1"/>
    <w:rsid w:val="003A7656"/>
    <w:rsid w:val="003D4A6D"/>
    <w:rsid w:val="003F5D76"/>
    <w:rsid w:val="00400987"/>
    <w:rsid w:val="00400F2C"/>
    <w:rsid w:val="0040510D"/>
    <w:rsid w:val="00405AA3"/>
    <w:rsid w:val="004335E8"/>
    <w:rsid w:val="00434DC4"/>
    <w:rsid w:val="00445A3B"/>
    <w:rsid w:val="00482BC3"/>
    <w:rsid w:val="004E11D1"/>
    <w:rsid w:val="004E170A"/>
    <w:rsid w:val="004E71AD"/>
    <w:rsid w:val="005023BA"/>
    <w:rsid w:val="0055463B"/>
    <w:rsid w:val="00566A34"/>
    <w:rsid w:val="00575BB7"/>
    <w:rsid w:val="0058460E"/>
    <w:rsid w:val="005959F5"/>
    <w:rsid w:val="005B3196"/>
    <w:rsid w:val="005C1A33"/>
    <w:rsid w:val="005F225C"/>
    <w:rsid w:val="00621A1C"/>
    <w:rsid w:val="0064411D"/>
    <w:rsid w:val="006644B1"/>
    <w:rsid w:val="00666406"/>
    <w:rsid w:val="00676AA9"/>
    <w:rsid w:val="006A29A5"/>
    <w:rsid w:val="006C5D0B"/>
    <w:rsid w:val="006F2D07"/>
    <w:rsid w:val="00780914"/>
    <w:rsid w:val="007815BC"/>
    <w:rsid w:val="00782E35"/>
    <w:rsid w:val="007A3B69"/>
    <w:rsid w:val="007B4375"/>
    <w:rsid w:val="007D4D81"/>
    <w:rsid w:val="007F6B58"/>
    <w:rsid w:val="00805605"/>
    <w:rsid w:val="00820672"/>
    <w:rsid w:val="00827A6C"/>
    <w:rsid w:val="0083215D"/>
    <w:rsid w:val="008778A5"/>
    <w:rsid w:val="0088300E"/>
    <w:rsid w:val="00890883"/>
    <w:rsid w:val="008C3D5D"/>
    <w:rsid w:val="008C4B80"/>
    <w:rsid w:val="008D7B4F"/>
    <w:rsid w:val="008F0938"/>
    <w:rsid w:val="008F458D"/>
    <w:rsid w:val="0093152C"/>
    <w:rsid w:val="00931608"/>
    <w:rsid w:val="00932990"/>
    <w:rsid w:val="0093679C"/>
    <w:rsid w:val="009373CD"/>
    <w:rsid w:val="00956A9B"/>
    <w:rsid w:val="00965D78"/>
    <w:rsid w:val="0097479C"/>
    <w:rsid w:val="0098783F"/>
    <w:rsid w:val="009924F6"/>
    <w:rsid w:val="009A095C"/>
    <w:rsid w:val="009B694A"/>
    <w:rsid w:val="009E1911"/>
    <w:rsid w:val="00A06CC9"/>
    <w:rsid w:val="00A1082B"/>
    <w:rsid w:val="00A14D7D"/>
    <w:rsid w:val="00A207E4"/>
    <w:rsid w:val="00A26217"/>
    <w:rsid w:val="00A30C7A"/>
    <w:rsid w:val="00A436D3"/>
    <w:rsid w:val="00A618F9"/>
    <w:rsid w:val="00A83E10"/>
    <w:rsid w:val="00A93BD5"/>
    <w:rsid w:val="00AA0FB7"/>
    <w:rsid w:val="00AA75FD"/>
    <w:rsid w:val="00AA7BB6"/>
    <w:rsid w:val="00B523CA"/>
    <w:rsid w:val="00B804D3"/>
    <w:rsid w:val="00B82400"/>
    <w:rsid w:val="00B83291"/>
    <w:rsid w:val="00B97AA0"/>
    <w:rsid w:val="00BB2B0A"/>
    <w:rsid w:val="00BC7659"/>
    <w:rsid w:val="00BD5E09"/>
    <w:rsid w:val="00BE25E9"/>
    <w:rsid w:val="00C00DC1"/>
    <w:rsid w:val="00C4584C"/>
    <w:rsid w:val="00C61A33"/>
    <w:rsid w:val="00C6305B"/>
    <w:rsid w:val="00CA52BC"/>
    <w:rsid w:val="00CB3DE2"/>
    <w:rsid w:val="00CC55E6"/>
    <w:rsid w:val="00CD12A3"/>
    <w:rsid w:val="00CD1E45"/>
    <w:rsid w:val="00D324A8"/>
    <w:rsid w:val="00D7427C"/>
    <w:rsid w:val="00D74755"/>
    <w:rsid w:val="00DB0465"/>
    <w:rsid w:val="00DB79FC"/>
    <w:rsid w:val="00DC148B"/>
    <w:rsid w:val="00DC17A3"/>
    <w:rsid w:val="00DC22AB"/>
    <w:rsid w:val="00DE1DF2"/>
    <w:rsid w:val="00DE5369"/>
    <w:rsid w:val="00E30DEE"/>
    <w:rsid w:val="00E730F1"/>
    <w:rsid w:val="00E7427D"/>
    <w:rsid w:val="00E75FD9"/>
    <w:rsid w:val="00E76ECA"/>
    <w:rsid w:val="00E77B5F"/>
    <w:rsid w:val="00E878B6"/>
    <w:rsid w:val="00E934F7"/>
    <w:rsid w:val="00EB4D12"/>
    <w:rsid w:val="00ED0716"/>
    <w:rsid w:val="00EE46C9"/>
    <w:rsid w:val="00F34E9A"/>
    <w:rsid w:val="00F37813"/>
    <w:rsid w:val="00F45AF7"/>
    <w:rsid w:val="00F46FA1"/>
    <w:rsid w:val="00F50461"/>
    <w:rsid w:val="00F508EE"/>
    <w:rsid w:val="00F57985"/>
    <w:rsid w:val="00F70A24"/>
    <w:rsid w:val="00F74437"/>
    <w:rsid w:val="00F7457B"/>
    <w:rsid w:val="00F8789A"/>
    <w:rsid w:val="00FD2695"/>
    <w:rsid w:val="00FD6D1C"/>
    <w:rsid w:val="042C78E7"/>
    <w:rsid w:val="20FE0D9A"/>
    <w:rsid w:val="250B2E19"/>
    <w:rsid w:val="315F7FB8"/>
    <w:rsid w:val="34B90050"/>
    <w:rsid w:val="4AD957CD"/>
    <w:rsid w:val="4F3955DD"/>
    <w:rsid w:val="55230902"/>
    <w:rsid w:val="6DAF6D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7">
    <w:name w:val="Default Paragraph Font"/>
    <w:semiHidden/>
    <w:unhideWhenUsed/>
    <w:uiPriority w:val="1"/>
  </w:style>
  <w:style w:type="table" w:default="1" w:styleId="10">
    <w:name w:val="Normal Table"/>
    <w:semiHidden/>
    <w:unhideWhenUsed/>
    <w:uiPriority w:val="99"/>
    <w:tblPr>
      <w:tblLayout w:type="fixed"/>
      <w:tblCellMar>
        <w:top w:w="0" w:type="dxa"/>
        <w:left w:w="108" w:type="dxa"/>
        <w:bottom w:w="0" w:type="dxa"/>
        <w:right w:w="108" w:type="dxa"/>
      </w:tblCellMar>
    </w:tblPr>
  </w:style>
  <w:style w:type="paragraph" w:styleId="2">
    <w:name w:val="annotation subject"/>
    <w:basedOn w:val="3"/>
    <w:next w:val="3"/>
    <w:link w:val="13"/>
    <w:semiHidden/>
    <w:unhideWhenUsed/>
    <w:uiPriority w:val="99"/>
    <w:rPr>
      <w:b/>
      <w:bCs/>
    </w:rPr>
  </w:style>
  <w:style w:type="paragraph" w:styleId="3">
    <w:name w:val="annotation text"/>
    <w:basedOn w:val="1"/>
    <w:link w:val="12"/>
    <w:semiHidden/>
    <w:unhideWhenUsed/>
    <w:uiPriority w:val="99"/>
    <w:pPr>
      <w:jc w:val="left"/>
    </w:pPr>
  </w:style>
  <w:style w:type="paragraph" w:styleId="4">
    <w:name w:val="Balloon Text"/>
    <w:basedOn w:val="1"/>
    <w:link w:val="14"/>
    <w:semiHidden/>
    <w:unhideWhenUsed/>
    <w:uiPriority w:val="99"/>
    <w:rPr>
      <w:rFonts w:ascii="宋体"/>
      <w:sz w:val="18"/>
      <w:szCs w:val="18"/>
    </w:rPr>
  </w:style>
  <w:style w:type="paragraph" w:styleId="5">
    <w:name w:val="footer"/>
    <w:basedOn w:val="1"/>
    <w:link w:val="16"/>
    <w:unhideWhenUsed/>
    <w:uiPriority w:val="99"/>
    <w:pPr>
      <w:tabs>
        <w:tab w:val="center" w:pos="4153"/>
        <w:tab w:val="right" w:pos="8306"/>
      </w:tabs>
      <w:snapToGrid w:val="0"/>
      <w:jc w:val="left"/>
    </w:pPr>
    <w:rPr>
      <w:sz w:val="18"/>
      <w:szCs w:val="18"/>
    </w:rPr>
  </w:style>
  <w:style w:type="paragraph" w:styleId="6">
    <w:name w:val="header"/>
    <w:basedOn w:val="1"/>
    <w:link w:val="15"/>
    <w:unhideWhenUsed/>
    <w:uiPriority w:val="99"/>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uiPriority w:val="99"/>
    <w:rPr>
      <w:color w:val="0563C1" w:themeColor="hyperlink"/>
      <w:u w:val="single"/>
      <w14:textFill>
        <w14:solidFill>
          <w14:schemeClr w14:val="hlink"/>
        </w14:solidFill>
      </w14:textFill>
    </w:rPr>
  </w:style>
  <w:style w:type="character" w:styleId="9">
    <w:name w:val="annotation reference"/>
    <w:basedOn w:val="7"/>
    <w:semiHidden/>
    <w:unhideWhenUsed/>
    <w:qFormat/>
    <w:uiPriority w:val="99"/>
    <w:rPr>
      <w:sz w:val="21"/>
      <w:szCs w:val="21"/>
    </w:rPr>
  </w:style>
  <w:style w:type="paragraph" w:styleId="11">
    <w:name w:val="List Paragraph"/>
    <w:basedOn w:val="1"/>
    <w:qFormat/>
    <w:uiPriority w:val="34"/>
    <w:pPr>
      <w:ind w:firstLine="420" w:firstLineChars="200"/>
    </w:pPr>
  </w:style>
  <w:style w:type="character" w:customStyle="1" w:styleId="12">
    <w:name w:val="批注文字 字符"/>
    <w:basedOn w:val="7"/>
    <w:link w:val="3"/>
    <w:semiHidden/>
    <w:qFormat/>
    <w:uiPriority w:val="99"/>
    <w:rPr>
      <w:rFonts w:ascii="Times New Roman" w:hAnsi="Times New Roman" w:eastAsia="宋体" w:cs="Times New Roman"/>
      <w:szCs w:val="24"/>
    </w:rPr>
  </w:style>
  <w:style w:type="character" w:customStyle="1" w:styleId="13">
    <w:name w:val="批注主题 字符"/>
    <w:basedOn w:val="12"/>
    <w:link w:val="2"/>
    <w:semiHidden/>
    <w:uiPriority w:val="99"/>
    <w:rPr>
      <w:rFonts w:ascii="Times New Roman" w:hAnsi="Times New Roman" w:eastAsia="宋体" w:cs="Times New Roman"/>
      <w:b/>
      <w:bCs/>
      <w:szCs w:val="24"/>
    </w:rPr>
  </w:style>
  <w:style w:type="character" w:customStyle="1" w:styleId="14">
    <w:name w:val="批注框文本 字符"/>
    <w:basedOn w:val="7"/>
    <w:link w:val="4"/>
    <w:semiHidden/>
    <w:uiPriority w:val="99"/>
    <w:rPr>
      <w:rFonts w:ascii="宋体" w:hAnsi="Times New Roman" w:eastAsia="宋体" w:cs="Times New Roman"/>
      <w:sz w:val="18"/>
      <w:szCs w:val="18"/>
    </w:rPr>
  </w:style>
  <w:style w:type="character" w:customStyle="1" w:styleId="15">
    <w:name w:val="页眉 字符"/>
    <w:basedOn w:val="7"/>
    <w:link w:val="6"/>
    <w:qFormat/>
    <w:uiPriority w:val="99"/>
    <w:rPr>
      <w:rFonts w:ascii="Times New Roman" w:hAnsi="Times New Roman" w:eastAsia="宋体" w:cs="Times New Roman"/>
      <w:sz w:val="18"/>
      <w:szCs w:val="18"/>
    </w:rPr>
  </w:style>
  <w:style w:type="character" w:customStyle="1" w:styleId="16">
    <w:name w:val="页脚 字符"/>
    <w:basedOn w:val="7"/>
    <w:link w:val="5"/>
    <w:uiPriority w:val="99"/>
    <w:rPr>
      <w:rFonts w:ascii="Times New Roman" w:hAnsi="Times New Roman" w:eastAsia="宋体" w:cs="Times New Roman"/>
      <w:sz w:val="18"/>
      <w:szCs w:val="18"/>
    </w:rPr>
  </w:style>
  <w:style w:type="paragraph" w:customStyle="1" w:styleId="17">
    <w:name w:val="修订1"/>
    <w:hidden/>
    <w:semiHidden/>
    <w:uiPriority w:val="99"/>
    <w:rPr>
      <w:rFonts w:ascii="Times New Roman" w:hAnsi="Times New Roman" w:eastAsia="宋体" w:cs="Times New Roman"/>
      <w:kern w:val="2"/>
      <w:sz w:val="21"/>
      <w:szCs w:val="24"/>
      <w:lang w:val="en-US" w:eastAsia="zh-CN" w:bidi="ar-SA"/>
    </w:rPr>
  </w:style>
  <w:style w:type="paragraph" w:customStyle="1" w:styleId="18">
    <w:name w:val="Heading #2|1"/>
    <w:basedOn w:val="1"/>
    <w:qFormat/>
    <w:uiPriority w:val="0"/>
    <w:pPr>
      <w:shd w:val="clear" w:color="auto" w:fill="FFFFFF"/>
      <w:spacing w:before="1040" w:after="200" w:line="420" w:lineRule="exact"/>
      <w:jc w:val="center"/>
      <w:outlineLvl w:val="1"/>
    </w:pPr>
    <w:rPr>
      <w:rFonts w:ascii="PMingLiU" w:hAnsi="PMingLiU" w:eastAsia="PMingLiU" w:cs="PMingLiU"/>
      <w:sz w:val="42"/>
      <w:szCs w:val="42"/>
    </w:rPr>
  </w:style>
  <w:style w:type="paragraph" w:customStyle="1" w:styleId="19">
    <w:name w:val="Table caption|1"/>
    <w:basedOn w:val="1"/>
    <w:qFormat/>
    <w:uiPriority w:val="0"/>
    <w:pPr>
      <w:shd w:val="clear" w:color="auto" w:fill="FFFFFF"/>
      <w:spacing w:line="190" w:lineRule="exact"/>
    </w:pPr>
    <w:rPr>
      <w:rFonts w:ascii="PMingLiU" w:hAnsi="PMingLiU" w:eastAsia="PMingLiU" w:cs="PMingLiU"/>
      <w:spacing w:val="40"/>
      <w:sz w:val="19"/>
      <w:szCs w:val="19"/>
    </w:rPr>
  </w:style>
  <w:style w:type="paragraph" w:customStyle="1" w:styleId="20">
    <w:name w:val="Body text|21"/>
    <w:basedOn w:val="1"/>
    <w:link w:val="22"/>
    <w:qFormat/>
    <w:uiPriority w:val="0"/>
    <w:pPr>
      <w:shd w:val="clear" w:color="auto" w:fill="FFFFFF"/>
      <w:spacing w:before="880" w:after="1040" w:line="280" w:lineRule="exact"/>
      <w:ind w:hanging="960"/>
      <w:jc w:val="center"/>
    </w:pPr>
    <w:rPr>
      <w:rFonts w:ascii="PMingLiU" w:hAnsi="PMingLiU" w:eastAsia="PMingLiU" w:cs="PMingLiU"/>
      <w:spacing w:val="40"/>
      <w:sz w:val="28"/>
      <w:szCs w:val="28"/>
    </w:rPr>
  </w:style>
  <w:style w:type="character" w:customStyle="1" w:styleId="21">
    <w:name w:val="Body text|2 + 9.5 pt"/>
    <w:basedOn w:val="22"/>
    <w:unhideWhenUsed/>
    <w:uiPriority w:val="0"/>
    <w:rPr>
      <w:rFonts w:ascii="PMingLiU" w:hAnsi="PMingLiU" w:eastAsia="PMingLiU" w:cs="PMingLiU"/>
      <w:color w:val="000000"/>
      <w:spacing w:val="40"/>
      <w:w w:val="100"/>
      <w:position w:val="0"/>
      <w:sz w:val="19"/>
      <w:szCs w:val="19"/>
      <w:u w:val="none"/>
      <w:lang w:val="zh-CN" w:eastAsia="zh-CN" w:bidi="zh-CN"/>
    </w:rPr>
  </w:style>
  <w:style w:type="character" w:customStyle="1" w:styleId="22">
    <w:name w:val="Body text|2_"/>
    <w:basedOn w:val="7"/>
    <w:link w:val="20"/>
    <w:uiPriority w:val="0"/>
    <w:rPr>
      <w:rFonts w:ascii="PMingLiU" w:hAnsi="PMingLiU" w:eastAsia="PMingLiU" w:cs="PMingLiU"/>
      <w:spacing w:val="40"/>
      <w:sz w:val="28"/>
      <w:szCs w:val="28"/>
      <w:u w:val="none"/>
    </w:rPr>
  </w:style>
  <w:style w:type="character" w:customStyle="1" w:styleId="23">
    <w:name w:val="Body text|2 + Arial"/>
    <w:basedOn w:val="22"/>
    <w:unhideWhenUsed/>
    <w:uiPriority w:val="0"/>
    <w:rPr>
      <w:rFonts w:ascii="Arial" w:hAnsi="Arial" w:eastAsia="Arial" w:cs="Arial"/>
      <w:color w:val="000000"/>
      <w:spacing w:val="0"/>
      <w:w w:val="100"/>
      <w:position w:val="0"/>
      <w:sz w:val="21"/>
      <w:szCs w:val="21"/>
      <w:u w:val="none"/>
      <w:lang w:val="en-US" w:eastAsia="en-US" w:bidi="en-US"/>
    </w:rPr>
  </w:style>
  <w:style w:type="paragraph" w:customStyle="1" w:styleId="24">
    <w:name w:val="Revision"/>
    <w:hidden/>
    <w:semiHidden/>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7.jpeg"/><Relationship Id="rId8" Type="http://schemas.openxmlformats.org/officeDocument/2006/relationships/image" Target="media/image6.png"/><Relationship Id="rId7" Type="http://schemas.openxmlformats.org/officeDocument/2006/relationships/image" Target="media/image5.png"/><Relationship Id="rId6" Type="http://schemas.openxmlformats.org/officeDocument/2006/relationships/theme" Target="theme/theme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8.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4" Type="http://schemas.openxmlformats.org/officeDocument/2006/relationships/image" Target="media/image4.png"/><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E3FA2AC-5E69-7C46-966C-6FE5B69D8845}">
  <ds:schemaRefs/>
</ds:datastoreItem>
</file>

<file path=docProps/app.xml><?xml version="1.0" encoding="utf-8"?>
<Properties xmlns="http://schemas.openxmlformats.org/officeDocument/2006/extended-properties" xmlns:vt="http://schemas.openxmlformats.org/officeDocument/2006/docPropsVTypes">
  <Template>Normal.dotm</Template>
  <Company>360xt.cn</Company>
  <Pages>6</Pages>
  <Words>437</Words>
  <Characters>2491</Characters>
  <Lines>20</Lines>
  <Paragraphs>5</Paragraphs>
  <TotalTime>13</TotalTime>
  <ScaleCrop>false</ScaleCrop>
  <LinksUpToDate>false</LinksUpToDate>
  <CharactersWithSpaces>2923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2019-01-13T09:25:00Z</dcterms:created>
  <dc:creator>allen</dc:creator>
  <cp:lastModifiedBy>水煮双鱼</cp:lastModifiedBy>
  <cp:lastPrinted>2019-01-13T09:25:00Z</cp:lastPrinted>
  <dcterms:modified xsi:type="dcterms:W3CDTF">2019-01-14T08:15:39Z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